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highlight w:val="none"/>
          <w:lang w:val="en" w:eastAsia="zh-CN"/>
        </w:rPr>
      </w:pPr>
      <w:r>
        <w:rPr>
          <w:rFonts w:hint="eastAsia" w:ascii="Times New Roman" w:hAnsi="Times New Roman" w:eastAsia="方正小标宋简体" w:cs="方正小标宋简体"/>
          <w:sz w:val="44"/>
          <w:szCs w:val="44"/>
          <w:highlight w:val="none"/>
          <w:lang w:val="en" w:eastAsia="zh-CN"/>
        </w:rPr>
        <w:t>贵州省自然资源厅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highlight w:val="none"/>
          <w:lang w:val="en" w:eastAsia="zh-CN"/>
        </w:rPr>
      </w:pPr>
      <w:r>
        <w:rPr>
          <w:rFonts w:hint="eastAsia" w:ascii="Times New Roman" w:hAnsi="Times New Roman" w:eastAsia="方正小标宋简体" w:cs="方正小标宋简体"/>
          <w:sz w:val="44"/>
          <w:szCs w:val="44"/>
          <w:highlight w:val="none"/>
          <w:lang w:val="en" w:eastAsia="zh-CN"/>
        </w:rPr>
        <w:t>202</w:t>
      </w:r>
      <w:r>
        <w:rPr>
          <w:rFonts w:hint="eastAsia" w:ascii="Times New Roman" w:hAnsi="Times New Roman" w:eastAsia="方正小标宋简体" w:cs="方正小标宋简体"/>
          <w:sz w:val="44"/>
          <w:szCs w:val="44"/>
          <w:highlight w:val="none"/>
          <w:lang w:val="en-US" w:eastAsia="zh-CN"/>
        </w:rPr>
        <w:t>3</w:t>
      </w:r>
      <w:r>
        <w:rPr>
          <w:rFonts w:hint="eastAsia" w:ascii="Times New Roman" w:hAnsi="Times New Roman" w:eastAsia="方正小标宋简体" w:cs="方正小标宋简体"/>
          <w:sz w:val="44"/>
          <w:szCs w:val="44"/>
          <w:highlight w:val="none"/>
          <w:lang w:val="en" w:eastAsia="zh-CN"/>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 w:eastAsia="zh-CN"/>
        </w:rPr>
      </w:pPr>
      <w:r>
        <w:rPr>
          <w:rFonts w:hint="eastAsia" w:ascii="Times New Roman" w:hAnsi="Times New Roman" w:eastAsia="仿宋_GB2312" w:cs="仿宋_GB2312"/>
          <w:sz w:val="32"/>
          <w:szCs w:val="32"/>
          <w:highlight w:val="none"/>
          <w:lang w:val="en" w:eastAsia="zh-CN"/>
        </w:rPr>
        <w:t>根据《中华人民共和国政府信息公开条例》要求，现公布贵州省自然资源厅202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en" w:eastAsia="zh-CN"/>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 w:eastAsia="zh-CN"/>
        </w:rPr>
      </w:pPr>
      <w:r>
        <w:rPr>
          <w:rFonts w:hint="eastAsia" w:ascii="Times New Roman" w:hAnsi="Times New Roman" w:eastAsia="仿宋_GB2312" w:cs="仿宋_GB2312"/>
          <w:sz w:val="32"/>
          <w:szCs w:val="32"/>
          <w:highlight w:val="none"/>
          <w:lang w:val="en" w:eastAsia="zh-CN"/>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en" w:eastAsia="zh-CN"/>
        </w:rPr>
        <w:t>年1月1日至202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en" w:eastAsia="zh-CN"/>
        </w:rPr>
        <w:t>年12月31日。报告电子版可在贵州省自然资源厅门户网站政务公开专栏下载。公众如需进一步咨询了解相关信息，请与贵州省自然资源厅联系（地址：贵阳市中华北路242号，邮编：550004，电话：0851-86812057）。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2023年，贵州省</w:t>
      </w:r>
      <w:r>
        <w:rPr>
          <w:rFonts w:hint="eastAsia" w:ascii="仿宋_GB2312" w:hAnsi="仿宋_GB2312" w:eastAsia="仿宋_GB2312" w:cs="仿宋_GB2312"/>
          <w:sz w:val="32"/>
          <w:szCs w:val="32"/>
          <w:lang w:eastAsia="zh-CN"/>
        </w:rPr>
        <w:t>自然资源厅政府信息公开工作坚持以习近平新时代中国特色社会主义思想为指导，全面落实党中央、国务院深化政务公开各项决策部署</w:t>
      </w:r>
      <w:r>
        <w:rPr>
          <w:rFonts w:hint="default" w:ascii="仿宋_GB2312" w:hAnsi="仿宋_GB2312" w:eastAsia="仿宋_GB2312" w:cs="仿宋_GB2312"/>
          <w:sz w:val="32"/>
          <w:szCs w:val="32"/>
          <w:lang w:eastAsia="zh-CN"/>
        </w:rPr>
        <w:t>，严格执行《</w:t>
      </w:r>
      <w:r>
        <w:rPr>
          <w:rFonts w:hint="eastAsia" w:ascii="Times New Roman" w:hAnsi="Times New Roman" w:eastAsia="仿宋_GB2312" w:cs="仿宋_GB2312"/>
          <w:sz w:val="32"/>
          <w:szCs w:val="32"/>
          <w:highlight w:val="none"/>
          <w:lang w:val="en" w:eastAsia="zh-CN"/>
        </w:rPr>
        <w:t>中华人民共和国政府信息公开</w:t>
      </w:r>
      <w:r>
        <w:rPr>
          <w:rFonts w:hint="eastAsia" w:ascii="Times New Roman" w:hAnsi="Times New Roman" w:eastAsia="仿宋_GB2312" w:cs="仿宋_GB2312"/>
          <w:sz w:val="32"/>
          <w:szCs w:val="32"/>
          <w:highlight w:val="none"/>
          <w:lang w:val="en-US" w:eastAsia="zh-CN"/>
        </w:rPr>
        <w:t>条例</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bidi="ar"/>
        </w:rPr>
        <w:t>贵州省政府信息公开申请办理规定</w:t>
      </w:r>
      <w:r>
        <w:rPr>
          <w:rFonts w:hint="eastAsia" w:ascii="Times New Roman" w:hAnsi="Times New Roman" w:eastAsia="仿宋_GB2312" w:cs="仿宋_GB2312"/>
          <w:sz w:val="32"/>
          <w:szCs w:val="32"/>
          <w:highlight w:val="none"/>
          <w:lang w:eastAsia="zh-CN"/>
        </w:rPr>
        <w:t>》，认真贯彻落实省委、省政府以及自然资源部工作要</w:t>
      </w:r>
      <w:r>
        <w:rPr>
          <w:rFonts w:hint="eastAsia" w:ascii="仿宋_GB2312" w:hAnsi="仿宋_GB2312" w:eastAsia="仿宋_GB2312" w:cs="仿宋_GB2312"/>
          <w:sz w:val="32"/>
          <w:szCs w:val="32"/>
          <w:lang w:eastAsia="zh-CN"/>
        </w:rPr>
        <w:t>求，紧紧围绕自然资源管理“两统一”职责和重点工作任务，紧扣群众关切，更好发挥以公开促落实、强监管功能，推动自然资源工作高质量发展。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highlight w:val="none"/>
        </w:rPr>
      </w:pPr>
      <w:r>
        <w:rPr>
          <w:rFonts w:hint="eastAsia" w:ascii="Times New Roman" w:hAnsi="Times New Roman" w:eastAsia="楷体_GB2312" w:cs="楷体_GB2312"/>
          <w:color w:val="000000"/>
          <w:sz w:val="32"/>
          <w:szCs w:val="32"/>
          <w:highlight w:val="none"/>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 w:eastAsia="zh-CN"/>
        </w:rPr>
      </w:pPr>
      <w:r>
        <w:rPr>
          <w:rFonts w:hint="eastAsia" w:ascii="Times New Roman" w:hAnsi="Times New Roman" w:eastAsia="仿宋_GB2312" w:cs="仿宋_GB2312"/>
          <w:sz w:val="32"/>
          <w:szCs w:val="32"/>
          <w:highlight w:val="none"/>
          <w:lang w:val="en" w:eastAsia="zh-CN"/>
        </w:rPr>
        <w:t>202</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en" w:eastAsia="zh-CN"/>
        </w:rPr>
        <w:t>年度厅门户网站发布信息</w:t>
      </w:r>
      <w:r>
        <w:rPr>
          <w:rFonts w:hint="eastAsia" w:ascii="Times New Roman" w:hAnsi="Times New Roman" w:eastAsia="仿宋_GB2312" w:cs="仿宋_GB2312"/>
          <w:sz w:val="32"/>
          <w:szCs w:val="32"/>
          <w:highlight w:val="none"/>
          <w:lang w:val="en-US" w:eastAsia="zh-CN"/>
        </w:rPr>
        <w:t>2733</w:t>
      </w:r>
      <w:r>
        <w:rPr>
          <w:rFonts w:hint="eastAsia" w:ascii="Times New Roman" w:hAnsi="Times New Roman" w:eastAsia="仿宋_GB2312" w:cs="仿宋_GB2312"/>
          <w:sz w:val="32"/>
          <w:szCs w:val="32"/>
          <w:highlight w:val="none"/>
          <w:lang w:val="en" w:eastAsia="zh-CN"/>
        </w:rPr>
        <w:t>条，其中政务动态信息</w:t>
      </w:r>
      <w:r>
        <w:rPr>
          <w:rFonts w:hint="eastAsia" w:ascii="Times New Roman" w:hAnsi="Times New Roman" w:eastAsia="仿宋_GB2312" w:cs="仿宋_GB2312"/>
          <w:sz w:val="32"/>
          <w:szCs w:val="32"/>
          <w:highlight w:val="none"/>
          <w:lang w:val="en-US" w:eastAsia="zh-CN"/>
        </w:rPr>
        <w:t>1433</w:t>
      </w:r>
      <w:r>
        <w:rPr>
          <w:rFonts w:hint="eastAsia" w:ascii="Times New Roman" w:hAnsi="Times New Roman" w:eastAsia="仿宋_GB2312" w:cs="仿宋_GB2312"/>
          <w:sz w:val="32"/>
          <w:szCs w:val="32"/>
          <w:highlight w:val="none"/>
          <w:lang w:val="en" w:eastAsia="zh-CN"/>
        </w:rPr>
        <w:t>条，信息公开内容</w:t>
      </w:r>
      <w:r>
        <w:rPr>
          <w:rFonts w:hint="eastAsia" w:ascii="Times New Roman" w:hAnsi="Times New Roman" w:eastAsia="仿宋_GB2312" w:cs="仿宋_GB2312"/>
          <w:sz w:val="32"/>
          <w:szCs w:val="32"/>
          <w:highlight w:val="none"/>
          <w:lang w:val="en-US" w:eastAsia="zh-CN"/>
        </w:rPr>
        <w:t>1252</w:t>
      </w:r>
      <w:r>
        <w:rPr>
          <w:rFonts w:hint="eastAsia" w:ascii="Times New Roman" w:hAnsi="Times New Roman" w:eastAsia="仿宋_GB2312" w:cs="仿宋_GB2312"/>
          <w:sz w:val="32"/>
          <w:szCs w:val="32"/>
          <w:highlight w:val="none"/>
          <w:lang w:val="en" w:eastAsia="zh-CN"/>
        </w:rPr>
        <w:t>条，其他信息</w:t>
      </w:r>
      <w:r>
        <w:rPr>
          <w:rFonts w:hint="eastAsia" w:ascii="Times New Roman" w:hAnsi="Times New Roman" w:eastAsia="仿宋_GB2312" w:cs="仿宋_GB2312"/>
          <w:sz w:val="32"/>
          <w:szCs w:val="32"/>
          <w:highlight w:val="none"/>
          <w:lang w:val="en-US" w:eastAsia="zh-CN"/>
        </w:rPr>
        <w:t>48条</w:t>
      </w:r>
      <w:r>
        <w:rPr>
          <w:rFonts w:hint="eastAsia" w:ascii="Times New Roman" w:hAnsi="Times New Roman" w:eastAsia="仿宋_GB2312" w:cs="仿宋_GB2312"/>
          <w:sz w:val="32"/>
          <w:szCs w:val="32"/>
          <w:highlight w:val="none"/>
          <w:lang w:val="en" w:eastAsia="zh-CN"/>
        </w:rPr>
        <w:t>。发布政策解读</w:t>
      </w: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val="en" w:eastAsia="zh-CN"/>
        </w:rPr>
        <w:t>条、回应关切</w:t>
      </w:r>
      <w:r>
        <w:rPr>
          <w:rFonts w:hint="eastAsia" w:ascii="Times New Roman" w:hAnsi="Times New Roman" w:eastAsia="仿宋_GB2312" w:cs="仿宋_GB2312"/>
          <w:sz w:val="32"/>
          <w:szCs w:val="32"/>
          <w:highlight w:val="none"/>
          <w:lang w:val="en-US" w:eastAsia="zh-CN"/>
        </w:rPr>
        <w:t>34</w:t>
      </w:r>
      <w:r>
        <w:rPr>
          <w:rFonts w:hint="eastAsia" w:ascii="Times New Roman" w:hAnsi="Times New Roman" w:eastAsia="仿宋_GB2312" w:cs="仿宋_GB2312"/>
          <w:sz w:val="32"/>
          <w:szCs w:val="32"/>
          <w:highlight w:val="none"/>
          <w:lang w:val="en" w:eastAsia="zh-CN"/>
        </w:rPr>
        <w:t>条、意见征集</w:t>
      </w:r>
      <w:r>
        <w:rPr>
          <w:rFonts w:hint="eastAsia" w:ascii="Times New Roman" w:hAnsi="Times New Roman" w:eastAsia="仿宋_GB2312" w:cs="仿宋_GB2312"/>
          <w:sz w:val="32"/>
          <w:szCs w:val="32"/>
          <w:highlight w:val="none"/>
          <w:lang w:val="en-US" w:eastAsia="zh-CN"/>
        </w:rPr>
        <w:t>11期</w:t>
      </w:r>
      <w:r>
        <w:rPr>
          <w:rFonts w:hint="eastAsia" w:ascii="Times New Roman" w:hAnsi="Times New Roman" w:eastAsia="仿宋_GB2312" w:cs="仿宋_GB2312"/>
          <w:sz w:val="32"/>
          <w:szCs w:val="32"/>
          <w:highlight w:val="none"/>
          <w:lang w:val="en" w:eastAsia="zh-CN"/>
        </w:rPr>
        <w:t>。</w:t>
      </w:r>
      <w:r>
        <w:rPr>
          <w:rFonts w:hint="eastAsia" w:ascii="Times New Roman" w:hAnsi="Times New Roman" w:eastAsia="仿宋_GB2312" w:cs="Times New Roman"/>
          <w:color w:val="000000"/>
          <w:sz w:val="32"/>
          <w:szCs w:val="32"/>
          <w:highlight w:val="none"/>
          <w:lang w:eastAsia="zh-CN"/>
        </w:rPr>
        <w:t>全年</w:t>
      </w:r>
      <w:r>
        <w:rPr>
          <w:rFonts w:hint="default" w:ascii="Times New Roman" w:hAnsi="Times New Roman" w:eastAsia="仿宋_GB2312" w:cs="Times New Roman"/>
          <w:sz w:val="32"/>
          <w:szCs w:val="32"/>
          <w:lang w:eastAsia="zh-CN"/>
        </w:rPr>
        <w:t>制发行政规范性文件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件。</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楷体_GB2312" w:cs="楷体_GB2312"/>
          <w:color w:val="000000"/>
          <w:sz w:val="32"/>
          <w:szCs w:val="32"/>
          <w:highlight w:val="none"/>
        </w:rPr>
      </w:pPr>
      <w:r>
        <w:rPr>
          <w:rFonts w:hint="eastAsia" w:ascii="Times New Roman" w:hAnsi="Times New Roman" w:eastAsia="楷体_GB2312" w:cs="楷体_GB2312"/>
          <w:color w:val="000000"/>
          <w:sz w:val="32"/>
          <w:szCs w:val="32"/>
          <w:highlight w:val="none"/>
          <w:lang w:eastAsia="zh-CN"/>
        </w:rPr>
        <w:t>（</w:t>
      </w:r>
      <w:r>
        <w:rPr>
          <w:rFonts w:hint="eastAsia" w:ascii="Times New Roman" w:hAnsi="Times New Roman" w:eastAsia="楷体_GB2312" w:cs="楷体_GB2312"/>
          <w:color w:val="000000"/>
          <w:sz w:val="32"/>
          <w:szCs w:val="32"/>
          <w:highlight w:val="none"/>
          <w:lang w:val="en-US" w:eastAsia="zh-CN"/>
        </w:rPr>
        <w:t>二</w:t>
      </w:r>
      <w:r>
        <w:rPr>
          <w:rFonts w:hint="eastAsia" w:ascii="Times New Roman" w:hAnsi="Times New Roman" w:eastAsia="楷体_GB2312" w:cs="楷体_GB2312"/>
          <w:color w:val="000000"/>
          <w:sz w:val="32"/>
          <w:szCs w:val="32"/>
          <w:highlight w:val="none"/>
          <w:lang w:eastAsia="zh-CN"/>
        </w:rPr>
        <w:t>）</w:t>
      </w:r>
      <w:r>
        <w:rPr>
          <w:rFonts w:hint="eastAsia" w:ascii="Times New Roman" w:hAnsi="Times New Roman" w:eastAsia="楷体_GB2312" w:cs="楷体_GB2312"/>
          <w:color w:val="000000"/>
          <w:sz w:val="32"/>
          <w:szCs w:val="32"/>
          <w:highlight w:val="none"/>
        </w:rPr>
        <w:t>依申请公开及其行政复议、行政诉讼情况</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2023</w:t>
      </w:r>
      <w:r>
        <w:rPr>
          <w:rFonts w:hint="eastAsia" w:ascii="Times New Roman" w:hAnsi="Times New Roman" w:eastAsia="仿宋_GB2312" w:cs="仿宋_GB2312"/>
          <w:color w:val="auto"/>
          <w:kern w:val="0"/>
          <w:sz w:val="32"/>
          <w:szCs w:val="32"/>
          <w:highlight w:val="none"/>
          <w:lang w:val="zh-CN"/>
        </w:rPr>
        <w:t>年，我厅共收到政府信息公开申请</w:t>
      </w:r>
      <w:r>
        <w:rPr>
          <w:rFonts w:hint="eastAsia" w:ascii="Times New Roman" w:hAnsi="Times New Roman" w:eastAsia="仿宋_GB2312" w:cs="仿宋_GB2312"/>
          <w:color w:val="auto"/>
          <w:kern w:val="0"/>
          <w:sz w:val="32"/>
          <w:szCs w:val="32"/>
          <w:highlight w:val="none"/>
          <w:lang w:val="en-US" w:eastAsia="zh-CN"/>
        </w:rPr>
        <w:t>419</w:t>
      </w:r>
      <w:r>
        <w:rPr>
          <w:rFonts w:hint="eastAsia" w:ascii="Times New Roman" w:hAnsi="Times New Roman" w:eastAsia="仿宋_GB2312" w:cs="仿宋_GB2312"/>
          <w:color w:val="auto"/>
          <w:kern w:val="0"/>
          <w:sz w:val="32"/>
          <w:szCs w:val="32"/>
          <w:highlight w:val="none"/>
          <w:lang w:val="zh-CN"/>
        </w:rPr>
        <w:t>件，其中予以公开</w:t>
      </w:r>
      <w:r>
        <w:rPr>
          <w:rFonts w:hint="eastAsia" w:ascii="Times New Roman" w:hAnsi="Times New Roman" w:eastAsia="仿宋_GB2312" w:cs="仿宋_GB2312"/>
          <w:color w:val="auto"/>
          <w:kern w:val="0"/>
          <w:sz w:val="32"/>
          <w:szCs w:val="32"/>
          <w:highlight w:val="none"/>
          <w:lang w:val="en-US" w:eastAsia="zh-CN"/>
        </w:rPr>
        <w:t>201</w:t>
      </w:r>
      <w:r>
        <w:rPr>
          <w:rFonts w:hint="eastAsia" w:ascii="Times New Roman" w:hAnsi="Times New Roman" w:eastAsia="仿宋_GB2312" w:cs="仿宋_GB2312"/>
          <w:color w:val="auto"/>
          <w:kern w:val="0"/>
          <w:sz w:val="32"/>
          <w:szCs w:val="32"/>
          <w:highlight w:val="none"/>
          <w:lang w:val="zh-CN"/>
        </w:rPr>
        <w:t>件（含上年结转办理</w:t>
      </w:r>
      <w:r>
        <w:rPr>
          <w:rFonts w:hint="eastAsia" w:ascii="Times New Roman" w:hAnsi="Times New Roman" w:eastAsia="仿宋_GB2312" w:cs="仿宋_GB2312"/>
          <w:color w:val="auto"/>
          <w:kern w:val="0"/>
          <w:sz w:val="32"/>
          <w:szCs w:val="32"/>
          <w:highlight w:val="none"/>
          <w:lang w:val="en-US" w:eastAsia="zh-CN"/>
        </w:rPr>
        <w:t>1件</w:t>
      </w:r>
      <w:r>
        <w:rPr>
          <w:rFonts w:hint="eastAsia" w:ascii="Times New Roman" w:hAnsi="Times New Roman" w:eastAsia="仿宋_GB2312" w:cs="仿宋_GB2312"/>
          <w:color w:val="auto"/>
          <w:kern w:val="0"/>
          <w:sz w:val="32"/>
          <w:szCs w:val="32"/>
          <w:highlight w:val="none"/>
          <w:lang w:val="zh-CN"/>
        </w:rPr>
        <w:t>）、部分公开</w:t>
      </w:r>
      <w:r>
        <w:rPr>
          <w:rFonts w:hint="eastAsia" w:ascii="Times New Roman" w:hAnsi="Times New Roman" w:eastAsia="仿宋_GB2312" w:cs="仿宋_GB2312"/>
          <w:color w:val="auto"/>
          <w:kern w:val="0"/>
          <w:sz w:val="32"/>
          <w:szCs w:val="32"/>
          <w:highlight w:val="none"/>
          <w:lang w:val="en-US" w:eastAsia="zh-CN"/>
        </w:rPr>
        <w:t>88件、属于有关法律行政法规禁止公开内容不予公开2件、</w:t>
      </w:r>
      <w:r>
        <w:rPr>
          <w:rFonts w:hint="eastAsia" w:ascii="Times New Roman" w:hAnsi="Times New Roman" w:eastAsia="仿宋_GB2312" w:cs="仿宋_GB2312"/>
          <w:color w:val="auto"/>
          <w:kern w:val="0"/>
          <w:sz w:val="32"/>
          <w:szCs w:val="32"/>
          <w:highlight w:val="none"/>
          <w:lang w:val="zh-CN"/>
        </w:rPr>
        <w:t>不属于本机关掌握范围</w:t>
      </w:r>
      <w:r>
        <w:rPr>
          <w:rFonts w:hint="eastAsia" w:ascii="Times New Roman" w:hAnsi="Times New Roman" w:eastAsia="仿宋_GB2312" w:cs="仿宋_GB2312"/>
          <w:color w:val="auto"/>
          <w:kern w:val="0"/>
          <w:sz w:val="32"/>
          <w:szCs w:val="32"/>
          <w:highlight w:val="none"/>
          <w:lang w:val="en-US" w:eastAsia="zh-CN"/>
        </w:rPr>
        <w:t>101</w:t>
      </w:r>
      <w:r>
        <w:rPr>
          <w:rFonts w:hint="eastAsia" w:ascii="Times New Roman" w:hAnsi="Times New Roman" w:eastAsia="仿宋_GB2312" w:cs="仿宋_GB2312"/>
          <w:color w:val="auto"/>
          <w:kern w:val="0"/>
          <w:sz w:val="32"/>
          <w:szCs w:val="32"/>
          <w:highlight w:val="none"/>
          <w:lang w:val="zh-CN"/>
        </w:rPr>
        <w:t>件、重复申请不予处理</w:t>
      </w:r>
      <w:r>
        <w:rPr>
          <w:rFonts w:hint="eastAsia" w:ascii="Times New Roman" w:hAnsi="Times New Roman" w:eastAsia="仿宋_GB2312" w:cs="仿宋_GB2312"/>
          <w:color w:val="auto"/>
          <w:kern w:val="0"/>
          <w:sz w:val="32"/>
          <w:szCs w:val="32"/>
          <w:highlight w:val="none"/>
          <w:lang w:val="en-US" w:eastAsia="zh-CN"/>
        </w:rPr>
        <w:t>1件、其他处理8件、</w:t>
      </w:r>
      <w:r>
        <w:rPr>
          <w:rFonts w:hint="eastAsia" w:ascii="Times New Roman" w:hAnsi="Times New Roman" w:eastAsia="仿宋_GB2312" w:cs="仿宋_GB2312"/>
          <w:color w:val="auto"/>
          <w:kern w:val="0"/>
          <w:sz w:val="32"/>
          <w:szCs w:val="32"/>
          <w:highlight w:val="none"/>
          <w:lang w:val="zh-CN"/>
        </w:rPr>
        <w:t>结转下年度继续办理</w:t>
      </w:r>
      <w:r>
        <w:rPr>
          <w:rFonts w:hint="eastAsia" w:ascii="Times New Roman" w:hAnsi="Times New Roman" w:eastAsia="仿宋_GB2312" w:cs="仿宋_GB2312"/>
          <w:color w:val="auto"/>
          <w:kern w:val="0"/>
          <w:sz w:val="32"/>
          <w:szCs w:val="32"/>
          <w:highlight w:val="none"/>
          <w:lang w:val="en-US" w:eastAsia="zh-CN"/>
        </w:rPr>
        <w:t>19件</w:t>
      </w:r>
      <w:r>
        <w:rPr>
          <w:rFonts w:hint="eastAsia" w:ascii="Times New Roman" w:hAnsi="Times New Roman" w:eastAsia="仿宋_GB2312" w:cs="仿宋_GB2312"/>
          <w:color w:val="auto"/>
          <w:kern w:val="0"/>
          <w:sz w:val="32"/>
          <w:szCs w:val="32"/>
          <w:highlight w:val="none"/>
          <w:lang w:val="zh-CN"/>
        </w:rPr>
        <w:t>。</w:t>
      </w:r>
      <w:r>
        <w:rPr>
          <w:rFonts w:hint="eastAsia" w:ascii="Times New Roman" w:hAnsi="Times New Roman" w:eastAsia="仿宋_GB2312" w:cs="仿宋_GB2312"/>
          <w:color w:val="auto"/>
          <w:sz w:val="32"/>
          <w:szCs w:val="32"/>
          <w:highlight w:val="none"/>
        </w:rPr>
        <w:t>全年共收到因政府信息公开引起的复议申请</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件，做出决定</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件，其中，维持类决定</w:t>
      </w: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件</w:t>
      </w:r>
      <w:r>
        <w:rPr>
          <w:rFonts w:hint="eastAsia" w:ascii="Times New Roman" w:hAnsi="Times New Roman" w:eastAsia="仿宋_GB2312" w:cs="仿宋_GB2312"/>
          <w:color w:val="auto"/>
          <w:sz w:val="32"/>
          <w:szCs w:val="32"/>
          <w:highlight w:val="none"/>
          <w:lang w:eastAsia="zh-CN"/>
        </w:rPr>
        <w:t>，结果纠正</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件，</w:t>
      </w:r>
      <w:r>
        <w:rPr>
          <w:rFonts w:hint="eastAsia" w:ascii="Times New Roman" w:hAnsi="Times New Roman" w:eastAsia="仿宋_GB2312" w:cs="仿宋_GB2312"/>
          <w:color w:val="auto"/>
          <w:sz w:val="32"/>
          <w:szCs w:val="32"/>
          <w:highlight w:val="none"/>
          <w:lang w:eastAsia="zh-CN"/>
        </w:rPr>
        <w:t>其他结果</w:t>
      </w:r>
      <w:r>
        <w:rPr>
          <w:rFonts w:hint="eastAsia" w:ascii="Times New Roman" w:hAnsi="Times New Roman" w:eastAsia="仿宋_GB2312" w:cs="仿宋_GB2312"/>
          <w:color w:val="auto"/>
          <w:sz w:val="32"/>
          <w:szCs w:val="32"/>
          <w:highlight w:val="none"/>
          <w:lang w:val="en-US" w:eastAsia="zh-CN"/>
        </w:rPr>
        <w:t>2件；尚未审结1件。</w:t>
      </w:r>
      <w:r>
        <w:rPr>
          <w:rFonts w:hint="eastAsia" w:ascii="Times New Roman" w:hAnsi="Times New Roman" w:eastAsia="仿宋_GB2312" w:cs="仿宋_GB2312"/>
          <w:color w:val="auto"/>
          <w:sz w:val="32"/>
          <w:szCs w:val="32"/>
          <w:highlight w:val="none"/>
        </w:rPr>
        <w:t>因政府信息公开引起</w:t>
      </w:r>
      <w:r>
        <w:rPr>
          <w:rFonts w:hint="eastAsia" w:ascii="Times New Roman" w:hAnsi="Times New Roman" w:eastAsia="仿宋_GB2312" w:cs="仿宋_GB2312"/>
          <w:color w:val="auto"/>
          <w:sz w:val="32"/>
          <w:szCs w:val="32"/>
          <w:highlight w:val="none"/>
          <w:lang w:eastAsia="zh-CN"/>
        </w:rPr>
        <w:t>的行政诉讼</w:t>
      </w:r>
      <w:r>
        <w:rPr>
          <w:rFonts w:hint="eastAsia" w:ascii="Times New Roman" w:hAnsi="Times New Roman" w:eastAsia="仿宋_GB2312" w:cs="仿宋_GB2312"/>
          <w:color w:val="auto"/>
          <w:sz w:val="32"/>
          <w:szCs w:val="32"/>
          <w:highlight w:val="none"/>
          <w:lang w:val="en-US" w:eastAsia="zh-CN"/>
        </w:rPr>
        <w:t>1件（未经复议直接起诉尚未审结）。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color w:val="000000"/>
          <w:sz w:val="32"/>
          <w:szCs w:val="32"/>
          <w:highlight w:val="none"/>
        </w:rPr>
      </w:pPr>
      <w:r>
        <w:rPr>
          <w:rFonts w:hint="eastAsia" w:ascii="Times New Roman" w:hAnsi="Times New Roman" w:eastAsia="楷体_GB2312" w:cs="楷体_GB2312"/>
          <w:color w:val="000000"/>
          <w:sz w:val="32"/>
          <w:szCs w:val="32"/>
          <w:highlight w:val="none"/>
          <w:lang w:eastAsia="zh-CN"/>
        </w:rPr>
        <w:t>（三）</w:t>
      </w:r>
      <w:r>
        <w:rPr>
          <w:rFonts w:hint="eastAsia" w:ascii="Times New Roman" w:hAnsi="Times New Roman" w:eastAsia="楷体_GB2312" w:cs="楷体_GB2312"/>
          <w:color w:val="000000"/>
          <w:sz w:val="32"/>
          <w:szCs w:val="32"/>
          <w:highlight w:val="none"/>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sz w:val="32"/>
          <w:szCs w:val="32"/>
          <w:highlight w:val="none"/>
        </w:rPr>
      </w:pPr>
      <w:r>
        <w:rPr>
          <w:rFonts w:hint="eastAsia" w:ascii="仿宋_GB2312" w:hAnsi="仿宋_GB2312" w:eastAsia="仿宋_GB2312" w:cs="仿宋_GB2312"/>
          <w:sz w:val="32"/>
          <w:szCs w:val="32"/>
          <w:lang w:eastAsia="zh-CN"/>
        </w:rPr>
        <w:t>认真贯彻落实自然资源部关于《自然资源领域基层政务公开标准指引》，</w:t>
      </w:r>
      <w:r>
        <w:rPr>
          <w:rFonts w:hint="eastAsia" w:ascii="Times New Roman" w:hAnsi="Times New Roman" w:eastAsia="仿宋_GB2312" w:cs="Times New Roman"/>
          <w:color w:val="000000"/>
          <w:sz w:val="32"/>
          <w:szCs w:val="32"/>
          <w:highlight w:val="none"/>
          <w:lang w:eastAsia="zh-CN"/>
        </w:rPr>
        <w:t>持续加强政府信息公开标准化规范化管理。</w:t>
      </w:r>
      <w:r>
        <w:rPr>
          <w:rFonts w:hint="eastAsia" w:ascii="仿宋_GB2312" w:hAnsi="仿宋_GB2312" w:eastAsia="仿宋_GB2312" w:cs="仿宋_GB2312"/>
          <w:sz w:val="32"/>
          <w:szCs w:val="32"/>
          <w:lang w:eastAsia="zh-CN"/>
        </w:rPr>
        <w:t>严格做好公文登记、归档、整理和移交。坚持应公开尽公开原则，强化信息公开发布审核，确保信息公开及时准确。</w:t>
      </w:r>
      <w:r>
        <w:rPr>
          <w:rFonts w:hint="eastAsia" w:ascii="Times New Roman" w:hAnsi="Times New Roman" w:eastAsia="仿宋_GB2312" w:cs="Times New Roman"/>
          <w:color w:val="000000"/>
          <w:sz w:val="32"/>
          <w:szCs w:val="32"/>
          <w:highlight w:val="none"/>
          <w:lang w:val="en-US" w:eastAsia="zh-CN"/>
        </w:rPr>
        <w:t>聚焦群众最关心的问题，及时更新政民互动常见问题知识库和惠企利民政策明白卡，详解地质灾害防治、耕地保护、村庄规划等政策措施。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highlight w:val="none"/>
        </w:rPr>
      </w:pPr>
      <w:r>
        <w:rPr>
          <w:rFonts w:hint="eastAsia" w:ascii="Times New Roman" w:hAnsi="Times New Roman" w:eastAsia="楷体_GB2312" w:cs="楷体_GB2312"/>
          <w:color w:val="000000"/>
          <w:sz w:val="32"/>
          <w:szCs w:val="32"/>
          <w:highlight w:val="none"/>
          <w:lang w:eastAsia="zh-CN"/>
        </w:rPr>
        <w:t>（四）</w:t>
      </w:r>
      <w:r>
        <w:rPr>
          <w:rFonts w:hint="eastAsia" w:ascii="Times New Roman" w:hAnsi="Times New Roman" w:eastAsia="楷体_GB2312" w:cs="楷体_GB2312"/>
          <w:color w:val="000000"/>
          <w:sz w:val="32"/>
          <w:szCs w:val="32"/>
          <w:highlight w:val="none"/>
        </w:rPr>
        <w:t>加强</w:t>
      </w:r>
      <w:r>
        <w:rPr>
          <w:rFonts w:hint="eastAsia" w:ascii="Times New Roman" w:hAnsi="Times New Roman" w:eastAsia="楷体_GB2312" w:cs="楷体_GB2312"/>
          <w:color w:val="000000"/>
          <w:sz w:val="32"/>
          <w:szCs w:val="32"/>
          <w:highlight w:val="none"/>
          <w:lang w:val="en-US" w:eastAsia="zh-CN"/>
        </w:rPr>
        <w:t>政府信息公开平台</w:t>
      </w:r>
      <w:r>
        <w:rPr>
          <w:rFonts w:hint="eastAsia" w:ascii="Times New Roman" w:hAnsi="Times New Roman" w:eastAsia="楷体_GB2312" w:cs="楷体_GB2312"/>
          <w:color w:val="000000"/>
          <w:sz w:val="32"/>
          <w:szCs w:val="32"/>
          <w:highlight w:val="none"/>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不断</w:t>
      </w:r>
      <w:r>
        <w:rPr>
          <w:rFonts w:hint="default" w:ascii="Times New Roman" w:hAnsi="Times New Roman" w:eastAsia="仿宋_GB2312" w:cs="Times New Roman"/>
          <w:color w:val="000000"/>
          <w:sz w:val="32"/>
          <w:szCs w:val="32"/>
          <w:highlight w:val="none"/>
          <w:lang w:val="en-US" w:eastAsia="zh-CN"/>
        </w:rPr>
        <w:t>加强政务新媒体</w:t>
      </w:r>
      <w:r>
        <w:rPr>
          <w:rFonts w:hint="eastAsia" w:ascii="Times New Roman" w:hAnsi="Times New Roman" w:eastAsia="仿宋_GB2312" w:cs="Times New Roman"/>
          <w:color w:val="000000"/>
          <w:sz w:val="32"/>
          <w:szCs w:val="32"/>
          <w:highlight w:val="none"/>
          <w:lang w:val="en-US" w:eastAsia="zh-CN"/>
        </w:rPr>
        <w:t>建设、运维和管理</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持续</w:t>
      </w:r>
      <w:r>
        <w:rPr>
          <w:rFonts w:hint="default" w:ascii="Times New Roman" w:hAnsi="Times New Roman" w:eastAsia="仿宋_GB2312" w:cs="Times New Roman"/>
          <w:color w:val="000000"/>
          <w:sz w:val="32"/>
          <w:szCs w:val="32"/>
          <w:highlight w:val="none"/>
          <w:lang w:val="en-US" w:eastAsia="zh-CN"/>
        </w:rPr>
        <w:t>完善微信公众号信息发布、政民互动和办事服务功能，</w:t>
      </w:r>
      <w:r>
        <w:rPr>
          <w:rFonts w:hint="eastAsia" w:ascii="Times New Roman" w:hAnsi="Times New Roman" w:eastAsia="仿宋_GB2312" w:cs="Times New Roman"/>
          <w:color w:val="000000"/>
          <w:sz w:val="32"/>
          <w:szCs w:val="32"/>
          <w:highlight w:val="none"/>
          <w:lang w:val="en-US" w:eastAsia="zh-CN"/>
        </w:rPr>
        <w:t>厅微信公众号开设6个便民服务、1个掌上办、5个信息查询端口，</w:t>
      </w:r>
      <w:r>
        <w:rPr>
          <w:rFonts w:hint="default" w:ascii="Times New Roman" w:hAnsi="Times New Roman" w:eastAsia="仿宋_GB2312" w:cs="Times New Roman"/>
          <w:color w:val="000000"/>
          <w:sz w:val="32"/>
          <w:szCs w:val="32"/>
          <w:highlight w:val="none"/>
          <w:lang w:val="en-US" w:eastAsia="zh-CN"/>
        </w:rPr>
        <w:t>为公众提供办事入口</w:t>
      </w:r>
      <w:r>
        <w:rPr>
          <w:rFonts w:hint="eastAsia" w:ascii="仿宋_GB2312" w:hAnsi="仿宋_GB2312" w:eastAsia="仿宋_GB2312" w:cs="仿宋_GB2312"/>
          <w:color w:val="000000"/>
          <w:sz w:val="32"/>
          <w:szCs w:val="32"/>
          <w:highlight w:val="none"/>
          <w:lang w:val="en-US" w:eastAsia="zh-CN"/>
        </w:rPr>
        <w:t>，努力把“指尖上的掌上政府”建设好。持续建好用好贵州省地质灾害防治指挥平台“群众报灾”小程序，切实激发人民群众识灾、报灾、避灾的主动性。</w:t>
      </w:r>
      <w:r>
        <w:rPr>
          <w:rFonts w:hint="eastAsia" w:ascii="Times New Roman" w:hAnsi="Times New Roman" w:eastAsia="仿宋_GB2312" w:cs="Times New Roman"/>
          <w:color w:val="000000"/>
          <w:sz w:val="32"/>
          <w:szCs w:val="32"/>
          <w:highlight w:val="none"/>
          <w:lang w:val="en-US" w:eastAsia="zh-CN"/>
        </w:rPr>
        <w:t>2023年厅微信公众号发布信息1089条，</w:t>
      </w:r>
      <w:r>
        <w:rPr>
          <w:rFonts w:hint="eastAsia" w:ascii="Times New Roman" w:hAnsi="Times New Roman" w:eastAsia="仿宋_GB2312" w:cs="仿宋_GB2312"/>
          <w:color w:val="000000"/>
          <w:sz w:val="32"/>
          <w:szCs w:val="32"/>
          <w:highlight w:val="none"/>
          <w:lang w:eastAsia="zh-CN"/>
        </w:rPr>
        <w:t>关注</w:t>
      </w:r>
      <w:r>
        <w:rPr>
          <w:rFonts w:hint="eastAsia" w:ascii="Times New Roman" w:hAnsi="Times New Roman" w:eastAsia="仿宋_GB2312" w:cs="仿宋_GB2312"/>
          <w:color w:val="000000"/>
          <w:sz w:val="32"/>
          <w:szCs w:val="32"/>
          <w:highlight w:val="none"/>
        </w:rPr>
        <w:t>人数增至</w:t>
      </w:r>
      <w:r>
        <w:rPr>
          <w:rFonts w:hint="eastAsia" w:ascii="Times New Roman" w:hAnsi="Times New Roman" w:eastAsia="仿宋_GB2312" w:cs="仿宋_GB2312"/>
          <w:color w:val="000000"/>
          <w:sz w:val="32"/>
          <w:szCs w:val="32"/>
          <w:highlight w:val="none"/>
          <w:lang w:val="en-US" w:eastAsia="zh-CN"/>
        </w:rPr>
        <w:t>18.28万</w:t>
      </w:r>
      <w:r>
        <w:rPr>
          <w:rFonts w:hint="eastAsia" w:ascii="Times New Roman" w:hAnsi="Times New Roman" w:eastAsia="仿宋_GB2312" w:cs="仿宋_GB2312"/>
          <w:color w:val="000000"/>
          <w:sz w:val="32"/>
          <w:szCs w:val="32"/>
          <w:highlight w:val="none"/>
        </w:rPr>
        <w:t>人</w:t>
      </w:r>
      <w:r>
        <w:rPr>
          <w:rFonts w:hint="eastAsia" w:ascii="Times New Roman" w:hAnsi="Times New Roman" w:eastAsia="仿宋_GB2312" w:cs="仿宋_GB2312"/>
          <w:color w:val="000000"/>
          <w:sz w:val="32"/>
          <w:szCs w:val="32"/>
          <w:highlight w:val="none"/>
          <w:lang w:eastAsia="zh-CN"/>
        </w:rPr>
        <w:t>；厅官方微博发布信息</w:t>
      </w:r>
      <w:r>
        <w:rPr>
          <w:rFonts w:hint="eastAsia" w:ascii="Times New Roman" w:hAnsi="Times New Roman" w:eastAsia="仿宋_GB2312" w:cs="仿宋_GB2312"/>
          <w:color w:val="000000"/>
          <w:sz w:val="32"/>
          <w:szCs w:val="32"/>
          <w:highlight w:val="none"/>
          <w:lang w:val="en-US" w:eastAsia="zh-CN"/>
        </w:rPr>
        <w:t>1469条，关注量持续增长。</w:t>
      </w:r>
      <w:r>
        <w:rPr>
          <w:rFonts w:hint="eastAsia" w:ascii="Times New Roman" w:hAnsi="Times New Roman" w:eastAsia="仿宋_GB2312" w:cs="仿宋_GB2312"/>
          <w:color w:val="000000"/>
          <w:sz w:val="32"/>
          <w:szCs w:val="32"/>
          <w:highlight w:val="none"/>
        </w:rPr>
        <w:t>我厅政务新媒体</w:t>
      </w:r>
      <w:r>
        <w:rPr>
          <w:rFonts w:hint="eastAsia" w:ascii="Times New Roman" w:hAnsi="Times New Roman" w:eastAsia="仿宋_GB2312" w:cs="仿宋_GB2312"/>
          <w:color w:val="000000"/>
          <w:sz w:val="32"/>
          <w:szCs w:val="32"/>
          <w:highlight w:val="none"/>
          <w:lang w:val="en-US" w:eastAsia="zh-CN"/>
        </w:rPr>
        <w:t>2023年第三季度</w:t>
      </w:r>
      <w:r>
        <w:rPr>
          <w:rFonts w:hint="eastAsia" w:ascii="Times New Roman" w:hAnsi="Times New Roman" w:eastAsia="仿宋_GB2312" w:cs="仿宋_GB2312"/>
          <w:color w:val="000000"/>
          <w:sz w:val="32"/>
          <w:szCs w:val="32"/>
          <w:highlight w:val="none"/>
          <w:lang w:eastAsia="zh-CN"/>
        </w:rPr>
        <w:t>排名位列</w:t>
      </w:r>
      <w:r>
        <w:rPr>
          <w:rFonts w:hint="eastAsia" w:ascii="Times New Roman" w:hAnsi="Times New Roman" w:eastAsia="仿宋_GB2312" w:cs="仿宋_GB2312"/>
          <w:color w:val="000000"/>
          <w:sz w:val="32"/>
          <w:szCs w:val="32"/>
          <w:highlight w:val="none"/>
        </w:rPr>
        <w:t>省直部门第</w:t>
      </w:r>
      <w:r>
        <w:rPr>
          <w:rFonts w:hint="eastAsia" w:ascii="Times New Roman" w:hAnsi="Times New Roman" w:eastAsia="仿宋_GB2312" w:cs="仿宋_GB2312"/>
          <w:color w:val="000000"/>
          <w:sz w:val="32"/>
          <w:szCs w:val="32"/>
          <w:highlight w:val="none"/>
          <w:lang w:val="en-US" w:eastAsia="zh-CN"/>
        </w:rPr>
        <w:t>3</w:t>
      </w:r>
      <w:r>
        <w:rPr>
          <w:rFonts w:hint="eastAsia" w:ascii="Times New Roman" w:hAnsi="Times New Roman" w:eastAsia="仿宋_GB2312" w:cs="仿宋_GB2312"/>
          <w:color w:val="000000"/>
          <w:sz w:val="32"/>
          <w:szCs w:val="32"/>
          <w:highlight w:val="none"/>
        </w:rPr>
        <w:t>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000000"/>
          <w:sz w:val="32"/>
          <w:szCs w:val="32"/>
          <w:highlight w:val="none"/>
        </w:rPr>
      </w:pPr>
      <w:r>
        <w:rPr>
          <w:rFonts w:hint="eastAsia" w:ascii="Times New Roman" w:hAnsi="Times New Roman" w:eastAsia="楷体_GB2312" w:cs="楷体_GB2312"/>
          <w:color w:val="000000"/>
          <w:sz w:val="32"/>
          <w:szCs w:val="32"/>
          <w:highlight w:val="none"/>
          <w:lang w:eastAsia="zh-CN"/>
        </w:rPr>
        <w:t>（五）</w:t>
      </w:r>
      <w:r>
        <w:rPr>
          <w:rFonts w:hint="eastAsia" w:ascii="Times New Roman" w:hAnsi="Times New Roman" w:eastAsia="楷体_GB2312" w:cs="楷体_GB2312"/>
          <w:color w:val="000000"/>
          <w:sz w:val="32"/>
          <w:szCs w:val="32"/>
          <w:highlight w:val="none"/>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eastAsia="zh-CN"/>
        </w:rPr>
        <w:t>将厅机关各处（室、局）政府信息公开执行情况纳入厅年度目标考核，定期开展政府信息公开情况自查，及时调度督促，充分发挥考核的督促监督作用，进一步提升全厅上下做好政府信息公开工作的积极性和主动性。认真落实全省政府网站和政务新媒体建设相关要求，持续开展巡网读网和错敏信息监测并逐一督促整改。举办全省自然资源系统政务公开业务培训，督促指导各地自然资源主管部门持续加强自然资源领域基层政务公开工作，不断提升政务公开标准化规范化水平。加强信息发布审查，做到“应公开尽公开”，对公开信息把好政治关、法律关、政策关、保密关、文字关，切实提升信息公开质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default" w:ascii="Times New Roman" w:hAnsi="Times New Roman" w:eastAsia="黑体" w:cs="Times New Roman"/>
          <w:i w:val="0"/>
          <w:caps w:val="0"/>
          <w:color w:val="000000"/>
          <w:spacing w:val="0"/>
          <w:sz w:val="32"/>
          <w:szCs w:val="32"/>
          <w:highlight w:val="none"/>
          <w:shd w:val="clear" w:color="auto" w:fill="FFFFFF"/>
        </w:rPr>
      </w:pPr>
      <w:r>
        <w:rPr>
          <w:rFonts w:hint="default" w:ascii="Times New Roman" w:hAnsi="Times New Roman" w:eastAsia="黑体" w:cs="Times New Roman"/>
          <w:i w:val="0"/>
          <w:caps w:val="0"/>
          <w:color w:val="000000"/>
          <w:spacing w:val="0"/>
          <w:sz w:val="32"/>
          <w:szCs w:val="32"/>
          <w:highlight w:val="none"/>
          <w:shd w:val="clear" w:color="auto" w:fill="FFFFFF"/>
        </w:rPr>
        <w:t>二、主动公开政府信息情况</w:t>
      </w:r>
    </w:p>
    <w:tbl>
      <w:tblPr>
        <w:tblStyle w:val="9"/>
        <w:tblpPr w:leftFromText="180" w:rightFromText="180" w:vertAnchor="text" w:horzAnchor="page" w:tblpX="1790" w:tblpY="593"/>
        <w:tblOverlap w:val="never"/>
        <w:tblW w:w="5000" w:type="pct"/>
        <w:tblInd w:w="0" w:type="dxa"/>
        <w:tblLayout w:type="autofit"/>
        <w:tblCellMar>
          <w:top w:w="0" w:type="dxa"/>
          <w:left w:w="0" w:type="dxa"/>
          <w:bottom w:w="0" w:type="dxa"/>
          <w:right w:w="0" w:type="dxa"/>
        </w:tblCellMar>
      </w:tblPr>
      <w:tblGrid>
        <w:gridCol w:w="3447"/>
        <w:gridCol w:w="1908"/>
        <w:gridCol w:w="1589"/>
        <w:gridCol w:w="2117"/>
      </w:tblGrid>
      <w:tr>
        <w:tblPrEx>
          <w:tblCellMar>
            <w:top w:w="0" w:type="dxa"/>
            <w:left w:w="0" w:type="dxa"/>
            <w:bottom w:w="0" w:type="dxa"/>
            <w:right w:w="0" w:type="dxa"/>
          </w:tblCellMar>
        </w:tblPrEx>
        <w:trPr>
          <w:trHeight w:val="31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bottom"/>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第二十条第（一）项</w:t>
            </w:r>
          </w:p>
        </w:tc>
      </w:tr>
      <w:tr>
        <w:tblPrEx>
          <w:tblCellMar>
            <w:top w:w="0" w:type="dxa"/>
            <w:left w:w="0" w:type="dxa"/>
            <w:bottom w:w="0" w:type="dxa"/>
            <w:right w:w="0" w:type="dxa"/>
          </w:tblCellMar>
        </w:tblPrEx>
        <w:trPr>
          <w:trHeight w:val="351"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105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4"/>
                <w:highlight w:val="none"/>
                <w:lang w:eastAsia="zh-CN"/>
              </w:rPr>
            </w:pPr>
            <w:r>
              <w:rPr>
                <w:rFonts w:hint="eastAsia" w:ascii="宋体" w:hAnsi="宋体" w:eastAsia="宋体" w:cs="宋体"/>
                <w:i w:val="0"/>
                <w:iCs w:val="0"/>
                <w:caps w:val="0"/>
                <w:color w:val="auto"/>
                <w:spacing w:val="0"/>
                <w:sz w:val="20"/>
                <w:szCs w:val="20"/>
                <w:highlight w:val="none"/>
                <w:shd w:val="clear" w:color="auto" w:fill="FFFFFF"/>
              </w:rPr>
              <w:t>本年制发件数</w:t>
            </w:r>
          </w:p>
        </w:tc>
        <w:tc>
          <w:tcPr>
            <w:tcW w:w="87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本年废止件数</w:t>
            </w:r>
          </w:p>
        </w:tc>
        <w:tc>
          <w:tcPr>
            <w:tcW w:w="11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现行有效件数</w:t>
            </w:r>
          </w:p>
        </w:tc>
      </w:tr>
      <w:tr>
        <w:tblPrEx>
          <w:tblCellMar>
            <w:top w:w="0" w:type="dxa"/>
            <w:left w:w="0" w:type="dxa"/>
            <w:bottom w:w="0" w:type="dxa"/>
            <w:right w:w="0" w:type="dxa"/>
          </w:tblCellMar>
        </w:tblPrEx>
        <w:trPr>
          <w:trHeight w:val="523"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规章</w:t>
            </w:r>
          </w:p>
        </w:tc>
        <w:tc>
          <w:tcPr>
            <w:tcW w:w="105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c>
          <w:tcPr>
            <w:tcW w:w="87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c>
          <w:tcPr>
            <w:tcW w:w="11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2</w:t>
            </w:r>
          </w:p>
        </w:tc>
      </w:tr>
      <w:tr>
        <w:tblPrEx>
          <w:tblCellMar>
            <w:top w:w="0" w:type="dxa"/>
            <w:left w:w="0" w:type="dxa"/>
            <w:bottom w:w="0" w:type="dxa"/>
            <w:right w:w="0" w:type="dxa"/>
          </w:tblCellMar>
        </w:tblPrEx>
        <w:trPr>
          <w:trHeight w:val="471"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规范性文件</w:t>
            </w:r>
          </w:p>
        </w:tc>
        <w:tc>
          <w:tcPr>
            <w:tcW w:w="1053"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3</w:t>
            </w:r>
          </w:p>
        </w:tc>
        <w:tc>
          <w:tcPr>
            <w:tcW w:w="877"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c>
          <w:tcPr>
            <w:tcW w:w="1166"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76</w:t>
            </w:r>
          </w:p>
        </w:tc>
      </w:tr>
      <w:tr>
        <w:tblPrEx>
          <w:tblCellMar>
            <w:top w:w="0" w:type="dxa"/>
            <w:left w:w="0" w:type="dxa"/>
            <w:bottom w:w="0" w:type="dxa"/>
            <w:right w:w="0" w:type="dxa"/>
          </w:tblCellMar>
        </w:tblPrEx>
        <w:trPr>
          <w:trHeight w:val="48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第二十条第（五）项</w:t>
            </w:r>
          </w:p>
        </w:tc>
      </w:tr>
      <w:tr>
        <w:tblPrEx>
          <w:tblCellMar>
            <w:top w:w="0" w:type="dxa"/>
            <w:left w:w="0" w:type="dxa"/>
            <w:bottom w:w="0" w:type="dxa"/>
            <w:right w:w="0" w:type="dxa"/>
          </w:tblCellMar>
        </w:tblPrEx>
        <w:trPr>
          <w:trHeight w:val="634"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本年处理决定数量</w:t>
            </w:r>
          </w:p>
        </w:tc>
      </w:tr>
      <w:tr>
        <w:tblPrEx>
          <w:tblCellMar>
            <w:top w:w="0" w:type="dxa"/>
            <w:left w:w="0" w:type="dxa"/>
            <w:bottom w:w="0" w:type="dxa"/>
            <w:right w:w="0" w:type="dxa"/>
          </w:tblCellMar>
        </w:tblPrEx>
        <w:trPr>
          <w:trHeight w:val="528"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行政许可</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1203</w:t>
            </w:r>
          </w:p>
        </w:tc>
      </w:tr>
      <w:tr>
        <w:tblPrEx>
          <w:tblCellMar>
            <w:top w:w="0" w:type="dxa"/>
            <w:left w:w="0" w:type="dxa"/>
            <w:bottom w:w="0" w:type="dxa"/>
            <w:right w:w="0" w:type="dxa"/>
          </w:tblCellMar>
        </w:tblPrEx>
        <w:trPr>
          <w:trHeight w:val="40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第二十条第（六）项</w:t>
            </w:r>
          </w:p>
        </w:tc>
      </w:tr>
      <w:tr>
        <w:tblPrEx>
          <w:tblCellMar>
            <w:top w:w="0" w:type="dxa"/>
            <w:left w:w="0" w:type="dxa"/>
            <w:bottom w:w="0" w:type="dxa"/>
            <w:right w:w="0" w:type="dxa"/>
          </w:tblCellMar>
        </w:tblPrEx>
        <w:trPr>
          <w:trHeight w:val="493"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本年处理决定数量</w:t>
            </w:r>
          </w:p>
        </w:tc>
      </w:tr>
      <w:tr>
        <w:tblPrEx>
          <w:tblCellMar>
            <w:top w:w="0" w:type="dxa"/>
            <w:left w:w="0" w:type="dxa"/>
            <w:bottom w:w="0" w:type="dxa"/>
            <w:right w:w="0" w:type="dxa"/>
          </w:tblCellMar>
        </w:tblPrEx>
        <w:trPr>
          <w:trHeight w:val="430"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行政处罚</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2</w:t>
            </w:r>
          </w:p>
        </w:tc>
      </w:tr>
      <w:tr>
        <w:tblPrEx>
          <w:tblCellMar>
            <w:top w:w="0" w:type="dxa"/>
            <w:left w:w="0" w:type="dxa"/>
            <w:bottom w:w="0" w:type="dxa"/>
            <w:right w:w="0" w:type="dxa"/>
          </w:tblCellMar>
        </w:tblPrEx>
        <w:trPr>
          <w:trHeight w:val="409"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行政强制</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r>
      <w:tr>
        <w:tblPrEx>
          <w:tblCellMar>
            <w:top w:w="0" w:type="dxa"/>
            <w:left w:w="0" w:type="dxa"/>
            <w:bottom w:w="0" w:type="dxa"/>
            <w:right w:w="0" w:type="dxa"/>
          </w:tblCellMar>
        </w:tblPrEx>
        <w:trPr>
          <w:trHeight w:val="474"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DBEEF3"/>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第二十条第（八）项</w:t>
            </w:r>
          </w:p>
        </w:tc>
      </w:tr>
      <w:tr>
        <w:tblPrEx>
          <w:tblCellMar>
            <w:top w:w="0" w:type="dxa"/>
            <w:left w:w="0" w:type="dxa"/>
            <w:bottom w:w="0" w:type="dxa"/>
            <w:right w:w="0" w:type="dxa"/>
          </w:tblCellMar>
        </w:tblPrEx>
        <w:trPr>
          <w:trHeight w:val="270"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信息内容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本年收费金额（单位：万元）</w:t>
            </w:r>
          </w:p>
        </w:tc>
      </w:tr>
      <w:tr>
        <w:tblPrEx>
          <w:tblCellMar>
            <w:top w:w="0" w:type="dxa"/>
            <w:left w:w="0" w:type="dxa"/>
            <w:bottom w:w="0" w:type="dxa"/>
            <w:right w:w="0" w:type="dxa"/>
          </w:tblCellMar>
        </w:tblPrEx>
        <w:trPr>
          <w:trHeight w:val="551" w:hRule="atLeast"/>
        </w:trPr>
        <w:tc>
          <w:tcPr>
            <w:tcW w:w="1902"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行政事业性收费</w:t>
            </w:r>
          </w:p>
        </w:tc>
        <w:tc>
          <w:tcPr>
            <w:tcW w:w="3097" w:type="pct"/>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cs="Times New Roman"/>
                <w:color w:val="auto"/>
                <w:sz w:val="21"/>
                <w:szCs w:val="24"/>
                <w:highlight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00" w:lineRule="exact"/>
        <w:ind w:left="0" w:leftChars="0" w:right="0" w:rightChars="0" w:firstLine="0"/>
        <w:jc w:val="both"/>
        <w:textAlignment w:val="auto"/>
        <w:outlineLvl w:val="9"/>
        <w:rPr>
          <w:rFonts w:hint="default" w:ascii="Times New Roman" w:hAnsi="Times New Roman" w:eastAsia="黑体" w:cs="Times New Roman"/>
          <w:b w:val="0"/>
          <w:bCs/>
          <w:color w:val="000000"/>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640" w:leftChars="0" w:right="0" w:rightChars="0"/>
        <w:jc w:val="both"/>
        <w:textAlignment w:val="auto"/>
        <w:outlineLvl w:val="9"/>
        <w:rPr>
          <w:rFonts w:hint="default" w:ascii="Times New Roman" w:hAnsi="Times New Roman" w:eastAsia="黑体" w:cs="Times New Roman"/>
          <w:b w:val="0"/>
          <w:bCs/>
          <w:color w:val="auto"/>
          <w:sz w:val="32"/>
          <w:szCs w:val="32"/>
          <w:highlight w:val="none"/>
          <w:shd w:val="clear" w:color="auto" w:fill="FFFFFF"/>
        </w:rPr>
      </w:pPr>
      <w:r>
        <w:rPr>
          <w:rFonts w:hint="eastAsia" w:ascii="Times New Roman" w:hAnsi="Times New Roman" w:eastAsia="黑体" w:cs="Times New Roman"/>
          <w:b w:val="0"/>
          <w:bCs/>
          <w:color w:val="auto"/>
          <w:sz w:val="32"/>
          <w:szCs w:val="32"/>
          <w:highlight w:val="none"/>
          <w:shd w:val="clear" w:color="auto" w:fill="FFFFFF"/>
          <w:lang w:val="en-US" w:eastAsia="zh-CN"/>
        </w:rPr>
        <w:t>三、</w:t>
      </w:r>
      <w:r>
        <w:rPr>
          <w:rFonts w:hint="default" w:ascii="Times New Roman" w:hAnsi="Times New Roman" w:eastAsia="黑体" w:cs="Times New Roman"/>
          <w:b w:val="0"/>
          <w:bCs/>
          <w:color w:val="auto"/>
          <w:sz w:val="32"/>
          <w:szCs w:val="32"/>
          <w:highlight w:val="none"/>
          <w:shd w:val="clear" w:color="auto" w:fill="FFFFFF"/>
        </w:rPr>
        <w:t>收到和处理政府信息公开申请情况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335"/>
        <w:gridCol w:w="564"/>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7" w:hRule="atLeast"/>
          <w:jc w:val="center"/>
        </w:trPr>
        <w:tc>
          <w:tcPr>
            <w:tcW w:w="3805" w:type="dxa"/>
            <w:gridSpan w:val="3"/>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eastAsia" w:ascii="楷体_GB2312" w:hAnsi="楷体_GB2312" w:eastAsia="楷体_GB2312" w:cs="楷体_GB2312"/>
                <w:color w:val="auto"/>
                <w:kern w:val="2"/>
                <w:sz w:val="18"/>
                <w:szCs w:val="18"/>
                <w:highlight w:val="none"/>
                <w:lang w:bidi="ar"/>
              </w:rPr>
              <w:t>（本列数据的勾稽关系为：第一项加第二项之和，等于第三项加第四项之和）</w:t>
            </w:r>
          </w:p>
        </w:tc>
        <w:tc>
          <w:tcPr>
            <w:tcW w:w="5266" w:type="dxa"/>
            <w:gridSpan w:val="7"/>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05" w:type="dxa"/>
            <w:gridSpan w:val="3"/>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highlight w:val="none"/>
              </w:rPr>
            </w:pPr>
          </w:p>
        </w:tc>
        <w:tc>
          <w:tcPr>
            <w:tcW w:w="56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自然人</w:t>
            </w:r>
          </w:p>
        </w:tc>
        <w:tc>
          <w:tcPr>
            <w:tcW w:w="4007"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法人或其他组织</w:t>
            </w:r>
          </w:p>
        </w:tc>
        <w:tc>
          <w:tcPr>
            <w:tcW w:w="695"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3805" w:type="dxa"/>
            <w:gridSpan w:val="3"/>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18"/>
                <w:szCs w:val="18"/>
                <w:highlight w:val="none"/>
              </w:rPr>
            </w:pPr>
          </w:p>
        </w:tc>
        <w:tc>
          <w:tcPr>
            <w:tcW w:w="56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rPr>
            </w:pP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商业企业</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科研机构</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社会公益组织</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法律服务机构</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其他</w:t>
            </w:r>
          </w:p>
        </w:tc>
        <w:tc>
          <w:tcPr>
            <w:tcW w:w="69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jc w:val="center"/>
        </w:trPr>
        <w:tc>
          <w:tcPr>
            <w:tcW w:w="380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一、本年新收政府信息公开申请数量</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252</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160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 w:eastAsia="zh-CN"/>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6</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419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0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二、上年结转政府信息公开申请数量</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 w:eastAsia="zh-CN"/>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 w:eastAsia="zh-CN"/>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 w:eastAsia="zh-CN"/>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宋体" w:cs="宋体"/>
                <w:b w:val="0"/>
                <w:bCs/>
                <w:color w:val="auto"/>
                <w:sz w:val="18"/>
                <w:szCs w:val="18"/>
                <w:highlight w:val="none"/>
                <w:lang w:eastAsia="zh-CN"/>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eastAsia="zh-CN"/>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6"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三、本年度办理结果</w:t>
            </w:r>
          </w:p>
        </w:tc>
        <w:tc>
          <w:tcPr>
            <w:tcW w:w="318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（一）予以公开</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54</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141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6</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201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318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（二）部分公开（区分处理的，只计这一情形，不计其他情形）</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86</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2</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eastAsia="zh-CN"/>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（三）不予公开</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1.属于国家秘密</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9"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2.其他法律行政法规禁止公开</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3.危及“三安全一稳定”</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4.保护第三方合法权益</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5.属于三类内部事务信息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6.属于四类过程性信息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7.属于行政执法案卷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8.属于行政查询事项</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（四）无法提供</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1.本机关不掌握相关政府信息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87</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13</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2.没有现成信息需要另行制作</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3.补正后申请内容仍不明确</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（五）不予处理</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1.信访举报投诉类申请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2.重复申请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3.要求提供公开出版物</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4.无正当理由大量反复申请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5.要求行政机关确认或重新出具已获取信息</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（六）其他处理</w:t>
            </w: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1.申请人无正当理由逾期不补正、行政机关不再处理其政府信息公开申请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5</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color w:val="auto"/>
                <w:sz w:val="18"/>
                <w:szCs w:val="18"/>
                <w:highlight w:val="none"/>
              </w:rPr>
            </w:pPr>
          </w:p>
        </w:tc>
        <w:tc>
          <w:tcPr>
            <w:tcW w:w="854"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color w:val="auto"/>
                <w:sz w:val="18"/>
                <w:szCs w:val="18"/>
                <w:highlight w:val="none"/>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2.申请人逾期未按收费通知要求缴纳费用、行政机关不再处理其政府信息公开申请</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616"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854"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233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3.其他</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val="en-US" w:eastAsia="zh-CN" w:bidi="ar"/>
              </w:rPr>
            </w:pPr>
            <w:r>
              <w:rPr>
                <w:rFonts w:hint="eastAsia" w:ascii="Times New Roman" w:hAnsi="Times New Roman" w:cs="Times New Roman"/>
                <w:color w:val="auto"/>
                <w:kern w:val="2"/>
                <w:sz w:val="18"/>
                <w:szCs w:val="18"/>
                <w:highlight w:val="none"/>
                <w:lang w:val="en-US" w:eastAsia="zh-CN" w:bidi="ar"/>
              </w:rPr>
              <w:t>3</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val="en-US" w:eastAsia="zh-CN" w:bidi="ar"/>
              </w:rPr>
            </w:pPr>
            <w:r>
              <w:rPr>
                <w:rFonts w:hint="eastAsia" w:ascii="Times New Roman" w:hAnsi="Times New Roman" w:cs="Times New Roman"/>
                <w:color w:val="auto"/>
                <w:kern w:val="2"/>
                <w:sz w:val="18"/>
                <w:szCs w:val="18"/>
                <w:highlight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p>
        </w:tc>
        <w:tc>
          <w:tcPr>
            <w:tcW w:w="3189"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kern w:val="2"/>
                <w:sz w:val="18"/>
                <w:szCs w:val="18"/>
                <w:highlight w:val="none"/>
                <w:lang w:bidi="ar"/>
              </w:rPr>
            </w:pPr>
            <w:r>
              <w:rPr>
                <w:rFonts w:hint="default" w:ascii="Times New Roman" w:hAnsi="Times New Roman" w:eastAsia="宋体" w:cs="Times New Roman"/>
                <w:color w:val="auto"/>
                <w:kern w:val="2"/>
                <w:sz w:val="18"/>
                <w:szCs w:val="18"/>
                <w:highlight w:val="none"/>
                <w:lang w:bidi="ar"/>
              </w:rPr>
              <w:t>（七）总计</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237</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157</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宋体" w:cs="宋体"/>
                <w:b w:val="0"/>
                <w:bCs/>
                <w:color w:val="auto"/>
                <w:sz w:val="18"/>
                <w:szCs w:val="18"/>
                <w:highlight w:val="none"/>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6</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ascii="Times New Roman" w:hAnsi="Times New Roman" w:eastAsia="宋体" w:cs="宋体"/>
                <w:b w:val="0"/>
                <w:bCs/>
                <w:color w:val="auto"/>
                <w:sz w:val="18"/>
                <w:szCs w:val="18"/>
                <w:highlight w:val="none"/>
                <w:lang w:val="en-US" w:eastAsia="zh-CN"/>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401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05"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lef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2"/>
                <w:sz w:val="18"/>
                <w:szCs w:val="18"/>
                <w:highlight w:val="none"/>
                <w:lang w:bidi="ar"/>
              </w:rPr>
              <w:t>四、结转下年度继续办理</w:t>
            </w:r>
          </w:p>
        </w:tc>
        <w:tc>
          <w:tcPr>
            <w:tcW w:w="5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sz w:val="18"/>
                <w:szCs w:val="18"/>
                <w:highlight w:val="none"/>
                <w:lang w:val="en-US" w:eastAsia="zh-CN"/>
              </w:rPr>
            </w:pPr>
            <w:r>
              <w:rPr>
                <w:rFonts w:hint="eastAsia" w:ascii="Times New Roman" w:hAnsi="Times New Roman" w:cs="宋体"/>
                <w:b w:val="0"/>
                <w:bCs/>
                <w:color w:val="auto"/>
                <w:sz w:val="18"/>
                <w:szCs w:val="18"/>
                <w:highlight w:val="none"/>
                <w:lang w:val="en-US" w:eastAsia="zh-CN"/>
              </w:rPr>
              <w:t>15</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kern w:val="2"/>
                <w:sz w:val="18"/>
                <w:szCs w:val="18"/>
                <w:highlight w:val="none"/>
                <w:lang w:val="en-US" w:eastAsia="zh-CN" w:bidi="ar"/>
              </w:rPr>
            </w:pPr>
            <w:r>
              <w:rPr>
                <w:rFonts w:hint="eastAsia" w:ascii="Times New Roman" w:hAnsi="Times New Roman" w:cs="宋体"/>
                <w:b w:val="0"/>
                <w:bCs/>
                <w:color w:val="auto"/>
                <w:kern w:val="2"/>
                <w:sz w:val="18"/>
                <w:szCs w:val="18"/>
                <w:highlight w:val="none"/>
                <w:lang w:val="en-US" w:eastAsia="zh-CN" w:bidi="ar"/>
              </w:rPr>
              <w:t>4</w:t>
            </w:r>
          </w:p>
        </w:tc>
        <w:tc>
          <w:tcPr>
            <w:tcW w:w="75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18"/>
                <w:szCs w:val="18"/>
                <w:highlight w:val="none"/>
                <w:lang w:val="en-US" w:eastAsia="zh-CN" w:bidi="ar"/>
              </w:rPr>
            </w:pPr>
            <w:r>
              <w:rPr>
                <w:rFonts w:hint="default" w:ascii="Times New Roman" w:hAnsi="Times New Roman" w:cs="宋体"/>
                <w:b w:val="0"/>
                <w:bCs/>
                <w:color w:val="auto"/>
                <w:sz w:val="18"/>
                <w:szCs w:val="18"/>
                <w:highlight w:val="none"/>
                <w:lang w:val="en" w:eastAsia="zh-CN"/>
              </w:rPr>
              <w:t>0</w:t>
            </w:r>
          </w:p>
        </w:tc>
        <w:tc>
          <w:tcPr>
            <w:tcW w:w="81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eastAsia" w:ascii="Times New Roman" w:hAnsi="Times New Roman" w:eastAsia="宋体" w:cs="Times New Roman"/>
                <w:color w:val="auto"/>
                <w:kern w:val="2"/>
                <w:sz w:val="18"/>
                <w:szCs w:val="18"/>
                <w:highlight w:val="none"/>
                <w:lang w:val="en-US" w:eastAsia="zh-CN" w:bidi="ar"/>
              </w:rPr>
            </w:pPr>
            <w:r>
              <w:rPr>
                <w:rFonts w:hint="default" w:ascii="Times New Roman" w:hAnsi="Times New Roman" w:cs="宋体"/>
                <w:b w:val="0"/>
                <w:bCs/>
                <w:color w:val="auto"/>
                <w:sz w:val="18"/>
                <w:szCs w:val="18"/>
                <w:highlight w:val="none"/>
                <w:lang w:val="en" w:eastAsia="zh-CN"/>
              </w:rPr>
              <w:t>0</w:t>
            </w:r>
          </w:p>
        </w:tc>
        <w:tc>
          <w:tcPr>
            <w:tcW w:w="97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eastAsia" w:ascii="Times New Roman" w:hAnsi="Times New Roman" w:eastAsia="宋体" w:cs="Times New Roman"/>
                <w:color w:val="auto"/>
                <w:kern w:val="2"/>
                <w:sz w:val="18"/>
                <w:szCs w:val="18"/>
                <w:highlight w:val="none"/>
                <w:lang w:val="en-US" w:eastAsia="zh-CN" w:bidi="ar"/>
              </w:rPr>
            </w:pPr>
            <w:r>
              <w:rPr>
                <w:rFonts w:hint="default" w:ascii="Times New Roman" w:hAnsi="Times New Roman" w:cs="宋体"/>
                <w:b w:val="0"/>
                <w:bCs/>
                <w:color w:val="auto"/>
                <w:sz w:val="18"/>
                <w:szCs w:val="18"/>
                <w:highlight w:val="none"/>
                <w:lang w:val="en" w:eastAsia="zh-CN"/>
              </w:rPr>
              <w:t>0</w:t>
            </w:r>
          </w:p>
        </w:tc>
        <w:tc>
          <w:tcPr>
            <w:tcW w:w="7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eastAsia" w:ascii="Times New Roman" w:hAnsi="Times New Roman" w:eastAsia="宋体" w:cs="Times New Roman"/>
                <w:color w:val="auto"/>
                <w:kern w:val="2"/>
                <w:sz w:val="18"/>
                <w:szCs w:val="18"/>
                <w:highlight w:val="none"/>
                <w:lang w:val="en-US" w:eastAsia="zh-CN" w:bidi="ar"/>
              </w:rPr>
            </w:pPr>
            <w:r>
              <w:rPr>
                <w:rFonts w:hint="default" w:ascii="Times New Roman" w:hAnsi="Times New Roman" w:cs="宋体"/>
                <w:b w:val="0"/>
                <w:bCs/>
                <w:color w:val="auto"/>
                <w:sz w:val="18"/>
                <w:szCs w:val="18"/>
                <w:highlight w:val="none"/>
                <w:lang w:val="en" w:eastAsia="zh-CN"/>
              </w:rPr>
              <w:t>0</w:t>
            </w:r>
          </w:p>
        </w:tc>
        <w:tc>
          <w:tcPr>
            <w:tcW w:w="69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Times New Roman" w:hAnsi="Times New Roman" w:eastAsia="宋体" w:cs="宋体"/>
                <w:b w:val="0"/>
                <w:bCs/>
                <w:color w:val="auto"/>
                <w:kern w:val="2"/>
                <w:sz w:val="18"/>
                <w:szCs w:val="18"/>
                <w:highlight w:val="none"/>
                <w:lang w:val="en-US" w:eastAsia="zh-CN" w:bidi="ar"/>
              </w:rPr>
            </w:pPr>
            <w:r>
              <w:rPr>
                <w:rFonts w:hint="eastAsia" w:ascii="Times New Roman" w:hAnsi="Times New Roman" w:cs="宋体"/>
                <w:b w:val="0"/>
                <w:bCs/>
                <w:color w:val="auto"/>
                <w:kern w:val="2"/>
                <w:sz w:val="18"/>
                <w:szCs w:val="18"/>
                <w:highlight w:val="none"/>
                <w:lang w:val="en-US" w:eastAsia="zh-CN" w:bidi="ar"/>
              </w:rPr>
              <w:t>19</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default" w:ascii="Times New Roman" w:hAnsi="Times New Roman" w:eastAsia="黑体" w:cs="Times New Roman"/>
          <w:b w:val="0"/>
          <w:bCs/>
          <w:color w:val="auto"/>
          <w:sz w:val="32"/>
          <w:szCs w:val="32"/>
          <w:highlight w:val="none"/>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640" w:leftChars="0" w:right="0" w:rightChars="0"/>
        <w:textAlignment w:val="auto"/>
        <w:outlineLvl w:val="9"/>
        <w:rPr>
          <w:rFonts w:hint="default" w:ascii="Times New Roman" w:hAnsi="Times New Roman" w:eastAsia="黑体" w:cs="Times New Roman"/>
          <w:b w:val="0"/>
          <w:bCs/>
          <w:color w:val="000000"/>
          <w:sz w:val="32"/>
          <w:szCs w:val="32"/>
          <w:highlight w:val="none"/>
          <w:shd w:val="clear" w:color="auto" w:fill="FFFFFF"/>
        </w:rPr>
      </w:pPr>
      <w:r>
        <w:rPr>
          <w:rFonts w:hint="eastAsia" w:ascii="Times New Roman" w:hAnsi="Times New Roman" w:eastAsia="黑体" w:cs="Times New Roman"/>
          <w:b w:val="0"/>
          <w:bCs/>
          <w:color w:val="000000"/>
          <w:sz w:val="32"/>
          <w:szCs w:val="32"/>
          <w:highlight w:val="none"/>
          <w:shd w:val="clear" w:color="auto" w:fill="FFFFFF"/>
          <w:lang w:val="en-US" w:eastAsia="zh-CN"/>
        </w:rPr>
        <w:t>四、</w:t>
      </w:r>
      <w:r>
        <w:rPr>
          <w:rFonts w:hint="default" w:ascii="Times New Roman" w:hAnsi="Times New Roman" w:eastAsia="黑体" w:cs="Times New Roman"/>
          <w:b w:val="0"/>
          <w:bCs/>
          <w:color w:val="000000"/>
          <w:sz w:val="32"/>
          <w:szCs w:val="32"/>
          <w:highlight w:val="none"/>
          <w:shd w:val="clear" w:color="auto" w:fill="FFFFFF"/>
        </w:rPr>
        <w:t>政府信息公开行政复议、行政诉讼情况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074"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行政复议</w:t>
            </w:r>
          </w:p>
        </w:tc>
        <w:tc>
          <w:tcPr>
            <w:tcW w:w="5997" w:type="dxa"/>
            <w:gridSpan w:val="10"/>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结果维持</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结果纠正</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其他结果</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尚未审结</w:t>
            </w:r>
          </w:p>
        </w:tc>
        <w:tc>
          <w:tcPr>
            <w:tcW w:w="658"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总计</w:t>
            </w:r>
          </w:p>
        </w:tc>
        <w:tc>
          <w:tcPr>
            <w:tcW w:w="2970"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未经复议直接起诉</w:t>
            </w:r>
          </w:p>
        </w:tc>
        <w:tc>
          <w:tcPr>
            <w:tcW w:w="3027"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4"/>
                <w:highlight w:val="none"/>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4"/>
                <w:highlight w:val="none"/>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4"/>
                <w:highlight w:val="none"/>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4"/>
                <w:highlight w:val="none"/>
              </w:rPr>
            </w:pPr>
          </w:p>
        </w:tc>
        <w:tc>
          <w:tcPr>
            <w:tcW w:w="658"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4"/>
                <w:highlight w:val="none"/>
              </w:rPr>
            </w:pPr>
          </w:p>
        </w:tc>
        <w:tc>
          <w:tcPr>
            <w:tcW w:w="5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结果维持</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结果纠正</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其他结果</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尚未审结</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总计</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结果维持</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结果纠正</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其他结果</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尚未审结</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000000"/>
                <w:sz w:val="21"/>
                <w:szCs w:val="24"/>
                <w:highlight w:val="none"/>
              </w:rPr>
            </w:pPr>
            <w:r>
              <w:rPr>
                <w:rFonts w:hint="default" w:ascii="Times New Roman" w:hAnsi="Times New Roman" w:eastAsia="宋体" w:cs="Times New Roman"/>
                <w:color w:val="000000"/>
                <w:kern w:val="2"/>
                <w:sz w:val="21"/>
                <w:szCs w:val="24"/>
                <w:highlight w:val="none"/>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6</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2</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2</w:t>
            </w:r>
          </w:p>
        </w:tc>
        <w:tc>
          <w:tcPr>
            <w:tcW w:w="60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1</w:t>
            </w:r>
          </w:p>
        </w:tc>
        <w:tc>
          <w:tcPr>
            <w:tcW w:w="6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11</w:t>
            </w:r>
          </w:p>
        </w:tc>
        <w:tc>
          <w:tcPr>
            <w:tcW w:w="5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1</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1</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c>
          <w:tcPr>
            <w:tcW w:w="60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after="0" w:afterLines="0" w:line="240" w:lineRule="auto"/>
              <w:jc w:val="center"/>
              <w:textAlignment w:val="auto"/>
              <w:rPr>
                <w:rFonts w:hint="default" w:ascii="Times New Roman" w:hAnsi="Times New Roman" w:eastAsia="宋体" w:cs="Times New Roman"/>
                <w:color w:val="auto"/>
                <w:kern w:val="2"/>
                <w:sz w:val="21"/>
                <w:szCs w:val="24"/>
                <w:highlight w:val="none"/>
                <w:lang w:val="en-US" w:eastAsia="zh-CN" w:bidi="ar"/>
              </w:rPr>
            </w:pPr>
            <w:r>
              <w:rPr>
                <w:rFonts w:hint="eastAsia" w:ascii="Times New Roman" w:hAnsi="Times New Roman" w:cs="Times New Roman"/>
                <w:color w:val="auto"/>
                <w:kern w:val="2"/>
                <w:sz w:val="21"/>
                <w:szCs w:val="24"/>
                <w:highlight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imes New Roman" w:hAnsi="Times New Roman" w:eastAsia="仿宋_GB2312" w:cs="仿宋_GB2312"/>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lang w:val="en-US" w:eastAsia="zh-CN"/>
        </w:rPr>
        <w:t>五、</w:t>
      </w:r>
      <w:r>
        <w:rPr>
          <w:rFonts w:hint="eastAsia" w:ascii="Times New Roman" w:hAnsi="Times New Roman" w:eastAsia="黑体" w:cs="黑体"/>
          <w:color w:val="000000"/>
          <w:sz w:val="32"/>
          <w:szCs w:val="32"/>
          <w:highlight w:val="none"/>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2023年</w:t>
      </w:r>
      <w:r>
        <w:rPr>
          <w:rFonts w:hint="eastAsia" w:ascii="仿宋_GB2312" w:hAnsi="仿宋_GB2312" w:eastAsia="仿宋_GB2312" w:cs="仿宋_GB2312"/>
          <w:sz w:val="32"/>
          <w:szCs w:val="32"/>
          <w:lang w:val="en-US" w:eastAsia="zh-CN"/>
        </w:rPr>
        <w:t>贵州省自然资源厅政府信息公开工作取得一定成效，但对标新目标新定位、对照人民群众对政务公开的新期待新要求，仍有差距和不足，主要表现在政府信息公开的创新举措还有待进一步加强，政府信息公开平台作用发挥还有待进一步提升。</w:t>
      </w:r>
      <w:r>
        <w:rPr>
          <w:rFonts w:hint="eastAsia" w:ascii="Times New Roman" w:hAnsi="Times New Roman" w:eastAsia="仿宋_GB2312" w:cs="仿宋_GB2312"/>
          <w:color w:val="000000"/>
          <w:sz w:val="32"/>
          <w:szCs w:val="32"/>
          <w:highlight w:val="none"/>
          <w:lang w:val="en-US" w:eastAsia="zh-CN"/>
        </w:rPr>
        <w:t>针对存在的问题，</w:t>
      </w:r>
      <w:r>
        <w:rPr>
          <w:rFonts w:hint="eastAsia" w:ascii="Times New Roman" w:hAnsi="Times New Roman" w:eastAsia="仿宋_GB2312" w:cs="仿宋_GB2312"/>
          <w:b/>
          <w:bCs/>
          <w:color w:val="000000"/>
          <w:sz w:val="32"/>
          <w:szCs w:val="32"/>
          <w:highlight w:val="none"/>
          <w:lang w:val="en-US" w:eastAsia="zh-CN"/>
        </w:rPr>
        <w:t>一是</w:t>
      </w:r>
      <w:r>
        <w:rPr>
          <w:rFonts w:hint="eastAsia" w:ascii="Times New Roman" w:hAnsi="Times New Roman" w:eastAsia="仿宋_GB2312" w:cs="仿宋_GB2312"/>
          <w:color w:val="000000"/>
          <w:sz w:val="32"/>
          <w:szCs w:val="32"/>
          <w:highlight w:val="none"/>
          <w:lang w:val="en-US" w:eastAsia="zh-CN"/>
        </w:rPr>
        <w:t>持续加大政府信息主动公开力度，</w:t>
      </w:r>
      <w:r>
        <w:rPr>
          <w:rFonts w:hint="default" w:ascii="Times New Roman" w:hAnsi="Times New Roman" w:eastAsia="仿宋_GB2312" w:cs="Times New Roman"/>
          <w:color w:val="000000"/>
          <w:sz w:val="32"/>
          <w:szCs w:val="32"/>
          <w:highlight w:val="none"/>
          <w:lang w:eastAsia="zh-CN"/>
        </w:rPr>
        <w:t>坚持</w:t>
      </w:r>
      <w:r>
        <w:rPr>
          <w:rFonts w:hint="eastAsia" w:ascii="Times New Roman" w:hAnsi="Times New Roman" w:eastAsia="仿宋_GB2312" w:cs="Times New Roman"/>
          <w:color w:val="000000"/>
          <w:sz w:val="32"/>
          <w:szCs w:val="32"/>
          <w:highlight w:val="none"/>
          <w:lang w:eastAsia="zh-CN"/>
        </w:rPr>
        <w:t>应公开尽公开、</w:t>
      </w:r>
      <w:r>
        <w:rPr>
          <w:rFonts w:hint="default" w:ascii="Times New Roman" w:hAnsi="Times New Roman" w:eastAsia="仿宋_GB2312" w:cs="Times New Roman"/>
          <w:color w:val="000000"/>
          <w:sz w:val="32"/>
          <w:szCs w:val="32"/>
          <w:highlight w:val="none"/>
          <w:lang w:eastAsia="zh-CN"/>
        </w:rPr>
        <w:t>应解读尽解读，</w:t>
      </w:r>
      <w:r>
        <w:rPr>
          <w:rFonts w:hint="eastAsia" w:ascii="Times New Roman" w:hAnsi="Times New Roman" w:eastAsia="仿宋_GB2312" w:cs="Times New Roman"/>
          <w:color w:val="000000"/>
          <w:sz w:val="32"/>
          <w:szCs w:val="32"/>
          <w:highlight w:val="none"/>
          <w:lang w:eastAsia="zh-CN"/>
        </w:rPr>
        <w:t>积极</w:t>
      </w:r>
      <w:r>
        <w:rPr>
          <w:rFonts w:hint="default" w:ascii="Times New Roman" w:hAnsi="Times New Roman" w:eastAsia="仿宋_GB2312" w:cs="Times New Roman"/>
          <w:color w:val="000000"/>
          <w:sz w:val="32"/>
          <w:szCs w:val="32"/>
          <w:highlight w:val="none"/>
          <w:lang w:eastAsia="zh-CN"/>
        </w:rPr>
        <w:t>运用文字、动画、图片等方式解读自然资源政策法规</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以公开促落实、促规范、促服务。</w:t>
      </w:r>
      <w:r>
        <w:rPr>
          <w:rFonts w:hint="eastAsia" w:ascii="Times New Roman" w:hAnsi="Times New Roman" w:eastAsia="仿宋_GB2312" w:cs="仿宋_GB2312"/>
          <w:b/>
          <w:bCs/>
          <w:color w:val="000000"/>
          <w:sz w:val="32"/>
          <w:szCs w:val="32"/>
          <w:highlight w:val="none"/>
          <w:lang w:val="en-US" w:eastAsia="zh-CN"/>
        </w:rPr>
        <w:t>二是</w:t>
      </w:r>
      <w:r>
        <w:rPr>
          <w:rFonts w:hint="eastAsia" w:ascii="Times New Roman" w:hAnsi="Times New Roman" w:eastAsia="仿宋_GB2312" w:cs="仿宋_GB2312"/>
          <w:color w:val="000000"/>
          <w:sz w:val="32"/>
          <w:szCs w:val="32"/>
          <w:highlight w:val="none"/>
          <w:lang w:val="en-US" w:eastAsia="zh-CN"/>
        </w:rPr>
        <w:t>持续</w:t>
      </w:r>
      <w:r>
        <w:rPr>
          <w:rFonts w:hint="eastAsia" w:ascii="仿宋_GB2312" w:hAnsi="仿宋_GB2312" w:eastAsia="仿宋_GB2312" w:cs="仿宋_GB2312"/>
          <w:sz w:val="32"/>
          <w:szCs w:val="32"/>
          <w:lang w:val="en-US" w:eastAsia="zh-CN"/>
        </w:rPr>
        <w:t>加强政府信息公开平台建设，严格落实厅门户网站和政务新媒体监测管理要求，不断完善政民互动和办事服务功能。</w:t>
      </w:r>
      <w:r>
        <w:rPr>
          <w:rFonts w:hint="eastAsia" w:ascii="Times New Roman" w:hAnsi="Times New Roman" w:eastAsia="仿宋_GB2312" w:cs="仿宋_GB2312"/>
          <w:color w:val="000000"/>
          <w:sz w:val="32"/>
          <w:szCs w:val="32"/>
          <w:highlight w:val="none"/>
          <w:lang w:val="en-US" w:eastAsia="zh-CN"/>
        </w:rPr>
        <w:t>下步，将</w:t>
      </w:r>
      <w:r>
        <w:rPr>
          <w:rFonts w:hint="eastAsia" w:ascii="仿宋_GB2312" w:hAnsi="仿宋_GB2312" w:eastAsia="仿宋_GB2312" w:cs="仿宋_GB2312"/>
          <w:sz w:val="32"/>
          <w:szCs w:val="32"/>
          <w:lang w:eastAsia="zh-CN"/>
        </w:rPr>
        <w:t>持续推进全省自然资源系统政府信息公开建设工作，</w:t>
      </w:r>
      <w:r>
        <w:rPr>
          <w:rFonts w:hint="eastAsia" w:ascii="Times New Roman" w:hAnsi="Times New Roman" w:eastAsia="仿宋_GB2312" w:cs="仿宋_GB2312"/>
          <w:color w:val="000000"/>
          <w:sz w:val="32"/>
          <w:szCs w:val="32"/>
          <w:highlight w:val="none"/>
          <w:lang w:val="en-US" w:eastAsia="zh-CN"/>
        </w:rPr>
        <w:t>全方位做好政策解读，全流程优化政务服务，全链条加强政务信息管理，努力推进自然资源领域决策、执行、管理、服务、结果“五公开”，不断提升政府信息公开工作水平。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 xml:space="preserve">                            </w:t>
      </w:r>
      <w:r>
        <w:rPr>
          <w:rFonts w:hint="eastAsia" w:ascii="Times New Roman" w:hAnsi="Times New Roman" w:eastAsia="仿宋_GB2312" w:cs="仿宋_GB2312"/>
          <w:color w:val="000000"/>
          <w:sz w:val="32"/>
          <w:szCs w:val="32"/>
          <w:highlight w:val="none"/>
          <w:lang w:val="en-US" w:eastAsia="zh-CN"/>
        </w:rPr>
        <w:t xml:space="preserve"> </w:t>
      </w:r>
      <w:r>
        <w:rPr>
          <w:rFonts w:hint="eastAsia" w:ascii="Times New Roman" w:hAnsi="Times New Roman" w:eastAsia="仿宋_GB2312" w:cs="仿宋_GB2312"/>
          <w:color w:val="000000"/>
          <w:sz w:val="32"/>
          <w:szCs w:val="32"/>
          <w:highlight w:val="none"/>
        </w:rPr>
        <w:t xml:space="preserve">   贵州省自然资源厅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 xml:space="preserve">                             </w:t>
      </w:r>
      <w:r>
        <w:rPr>
          <w:rFonts w:hint="default" w:ascii="Times New Roman" w:hAnsi="Times New Roman" w:eastAsia="仿宋_GB2312" w:cs="仿宋_GB2312"/>
          <w:color w:val="000000"/>
          <w:sz w:val="32"/>
          <w:szCs w:val="32"/>
          <w:highlight w:val="none"/>
          <w:lang w:val="en"/>
        </w:rPr>
        <w:t xml:space="preserve"> </w:t>
      </w:r>
      <w:r>
        <w:rPr>
          <w:rFonts w:hint="eastAsia" w:ascii="Times New Roman" w:hAnsi="Times New Roman" w:eastAsia="仿宋_GB2312" w:cs="仿宋_GB2312"/>
          <w:color w:val="000000"/>
          <w:sz w:val="32"/>
          <w:szCs w:val="32"/>
          <w:highlight w:val="none"/>
        </w:rPr>
        <w:t xml:space="preserve">  </w:t>
      </w:r>
      <w:r>
        <w:rPr>
          <w:rFonts w:hint="eastAsia" w:ascii="Times New Roman" w:hAnsi="Times New Roman" w:eastAsia="仿宋_GB2312" w:cs="仿宋_GB2312"/>
          <w:color w:val="000000"/>
          <w:sz w:val="32"/>
          <w:szCs w:val="32"/>
          <w:highlight w:val="none"/>
          <w:lang w:val="en-US" w:eastAsia="zh-CN"/>
        </w:rPr>
        <w:t>2024</w:t>
      </w:r>
      <w:r>
        <w:rPr>
          <w:rFonts w:hint="eastAsia" w:ascii="Times New Roman" w:hAnsi="Times New Roman" w:eastAsia="仿宋_GB2312" w:cs="仿宋_GB2312"/>
          <w:color w:val="000000"/>
          <w:sz w:val="32"/>
          <w:szCs w:val="32"/>
          <w:highlight w:val="none"/>
        </w:rPr>
        <w:t>年1月</w:t>
      </w:r>
      <w:r>
        <w:rPr>
          <w:rFonts w:hint="eastAsia" w:ascii="Times New Roman" w:hAnsi="Times New Roman" w:eastAsia="仿宋_GB2312" w:cs="仿宋_GB2312"/>
          <w:color w:val="000000"/>
          <w:sz w:val="32"/>
          <w:szCs w:val="32"/>
          <w:highlight w:val="none"/>
          <w:lang w:val="en-US" w:eastAsia="zh-CN"/>
        </w:rPr>
        <w:t>31</w:t>
      </w:r>
      <w:r>
        <w:rPr>
          <w:rFonts w:hint="eastAsia" w:ascii="Times New Roman" w:hAnsi="Times New Roman" w:eastAsia="仿宋_GB2312" w:cs="仿宋_GB2312"/>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highlight w:val="none"/>
          <w:lang w:val="en-US" w:eastAsia="zh-CN"/>
        </w:rPr>
      </w:pPr>
      <w:bookmarkStart w:id="0" w:name="_GoBack"/>
      <w:bookmarkEnd w:id="0"/>
    </w:p>
    <w:sectPr>
      <w:footerReference r:id="rId3" w:type="default"/>
      <w:pgSz w:w="11906" w:h="16838"/>
      <w:pgMar w:top="1701" w:right="1474" w:bottom="1701" w:left="1587" w:header="720" w:footer="7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hdrShapeDefaults>
    <o:shapelayout v:ext="edit">
      <o:idmap v:ext="edit" data="3,4"/>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4ZjFiNWE5YTQ2MThjYjM3Y2QzODcwNzlkYjkzOWIifQ=="/>
  </w:docVars>
  <w:rsids>
    <w:rsidRoot w:val="00000000"/>
    <w:rsid w:val="127310B7"/>
    <w:rsid w:val="1EF7AF3C"/>
    <w:rsid w:val="36F6F405"/>
    <w:rsid w:val="37A9EF84"/>
    <w:rsid w:val="3BEF3966"/>
    <w:rsid w:val="3EDEA340"/>
    <w:rsid w:val="3FDB19D9"/>
    <w:rsid w:val="46CF86FE"/>
    <w:rsid w:val="59EF3333"/>
    <w:rsid w:val="5FDA5FED"/>
    <w:rsid w:val="5FFB1231"/>
    <w:rsid w:val="67FEA4A3"/>
    <w:rsid w:val="6AEDA479"/>
    <w:rsid w:val="6CEF07ED"/>
    <w:rsid w:val="6EE9BC97"/>
    <w:rsid w:val="6FDFF9F5"/>
    <w:rsid w:val="6FED4D0F"/>
    <w:rsid w:val="719FCAD5"/>
    <w:rsid w:val="76C966C5"/>
    <w:rsid w:val="76EE70DA"/>
    <w:rsid w:val="79573030"/>
    <w:rsid w:val="7B5F2B7F"/>
    <w:rsid w:val="7BBEE91F"/>
    <w:rsid w:val="7D2315C3"/>
    <w:rsid w:val="7EACEA57"/>
    <w:rsid w:val="7F55052A"/>
    <w:rsid w:val="7F672F22"/>
    <w:rsid w:val="7FDD80B7"/>
    <w:rsid w:val="7FF7C93D"/>
    <w:rsid w:val="7FFF5CF1"/>
    <w:rsid w:val="7FFF7A04"/>
    <w:rsid w:val="876FC51D"/>
    <w:rsid w:val="8FFE0225"/>
    <w:rsid w:val="9FB6C896"/>
    <w:rsid w:val="AADF88B4"/>
    <w:rsid w:val="ADEC0DCB"/>
    <w:rsid w:val="BEFF01FF"/>
    <w:rsid w:val="BF7F2492"/>
    <w:rsid w:val="CDF7B82B"/>
    <w:rsid w:val="DFDE88CB"/>
    <w:rsid w:val="DFEA8F6B"/>
    <w:rsid w:val="E7DF596E"/>
    <w:rsid w:val="EA6BC6D1"/>
    <w:rsid w:val="EDEE5A6E"/>
    <w:rsid w:val="EFF9E17A"/>
    <w:rsid w:val="F5BF4AF1"/>
    <w:rsid w:val="F7AF9666"/>
    <w:rsid w:val="F97DABDF"/>
    <w:rsid w:val="F9FFC491"/>
    <w:rsid w:val="FAFAC307"/>
    <w:rsid w:val="FBDF745B"/>
    <w:rsid w:val="FBDFABA4"/>
    <w:rsid w:val="FBFF7F7C"/>
    <w:rsid w:val="FCDD2A5E"/>
    <w:rsid w:val="FED4EC5C"/>
    <w:rsid w:val="FEFD5E38"/>
    <w:rsid w:val="FFB20540"/>
    <w:rsid w:val="FFB70158"/>
    <w:rsid w:val="FFD7A059"/>
    <w:rsid w:val="FFEFDDF4"/>
    <w:rsid w:val="FFF7A13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4"/>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2018-12-06T17:47:00Z</dcterms:created>
  <dc:creator>ysgz</dc:creator>
  <cp:lastModifiedBy>ysgz</cp:lastModifiedBy>
  <cp:lastPrinted>2024-02-03T17:30:00Z</cp:lastPrinted>
  <dcterms:modified xsi:type="dcterms:W3CDTF">2024-07-17T17:22:38Z</dcterms:modified>
  <dc:title>贵州省自然资源厅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DED2A2F71FA3425589D341C2C763CE66_12</vt:lpwstr>
  </property>
</Properties>
</file>