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0" w:line="520" w:lineRule="exact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napToGrid w:val="0"/>
          <w:color w:val="auto"/>
          <w:spacing w:val="8"/>
          <w:kern w:val="0"/>
          <w:position w:val="5"/>
          <w:sz w:val="43"/>
          <w:szCs w:val="43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8"/>
          <w:kern w:val="0"/>
          <w:position w:val="5"/>
          <w:sz w:val="43"/>
          <w:szCs w:val="43"/>
          <w:lang w:val="en-US" w:eastAsia="zh-CN"/>
        </w:rPr>
        <w:t>2025年自然资源科普讲解大赛推荐要求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ind w:left="648"/>
        <w:jc w:val="left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spacing w:val="8"/>
          <w:kern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48"/>
        <w:jc w:val="left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一、讲解内容等要求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72" w:firstLineChars="200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（一）讲解内容围绕自然资源科学知识、科技创新、国情国策、主体业务工作等方面，鼓励选手讲解自然资源重大科技成果相关内容。可借助多媒体、实物等多种辅助手段进行科普讲解。讲解视频中参赛选手必须出镜，选手应满16周岁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72" w:firstLineChars="200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（二）规范使用地图，参赛选手讲解PPT或是视频中出现的地图，需在官方渠道下载或经审图机构审查，并提交相关证明。推荐单位应对参赛选手讲解内容的科学性、准确性进行把关。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72" w:firstLineChars="200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（三）为方便沟通交流，请参赛选手添加进入赛事QQ群，群号为1031723097。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48"/>
        <w:jc w:val="left"/>
        <w:textAlignment w:val="baseline"/>
        <w:outlineLvl w:val="0"/>
        <w:rPr>
          <w:rFonts w:hint="default" w:ascii="Times New Roman" w:hAnsi="Times New Roman" w:eastAsia="黑体" w:cs="Times New Roman"/>
          <w:snapToGrid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8"/>
          <w:kern w:val="0"/>
          <w:sz w:val="32"/>
          <w:szCs w:val="32"/>
          <w:lang w:val="en-US" w:eastAsia="zh-CN"/>
        </w:rPr>
        <w:t>二、报送要求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68"/>
        <w:jc w:val="left"/>
        <w:textAlignment w:val="baseline"/>
        <w:outlineLvl w:val="1"/>
        <w:rPr>
          <w:rFonts w:hint="default" w:ascii="Times New Roman" w:hAnsi="Times New Roman" w:eastAsia="楷体" w:cs="Times New Roman"/>
          <w:snapToGrid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 w:val="0"/>
          <w:color w:val="auto"/>
          <w:spacing w:val="5"/>
          <w:kern w:val="0"/>
          <w:sz w:val="32"/>
          <w:szCs w:val="32"/>
          <w:lang w:val="en-US" w:eastAsia="zh-CN"/>
        </w:rPr>
        <w:t>（一）评审推荐程序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72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1.组织推荐。各单位自行组织开展选拔活动，于2025年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月1日前填写《2025年自然资源科普讲解大赛参赛选手报名表》《2025年自然资源科普讲解大赛活动回执》发送至指定邮箱，推荐1人至省自然资源厅参加省初赛，逾期不再受理。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72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优秀组织奖。申报单位填报《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贵州省自然资源科普讲解大赛优秀组织奖申报表》发送至指定邮箱，并提供初赛组织方案、照片等相关材料作为参评依据。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68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.省初赛。在组织推荐基础上，省自然资源厅将于4月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日在贵州省地质博物馆三楼学术报告厅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eastAsia="zh-CN" w:bidi="ar-SA"/>
        </w:rPr>
        <w:t>采取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现场讲解的方式进行评审，省初赛将择优推荐1-2人代表贵州省参加自然资源部科普讲解大赛半决赛。初赛讲解文本经本单位审查加盖公章后（纸质一式七份）于报到时提交。半决赛推荐材料应于4月1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日前发送、邮寄至指定邮箱、地址。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68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.半决赛。由自然资源部组织专家对选手自主命题讲解视频进行评审，在全国择优推荐选手参加决赛。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68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.决赛。由自然资源部组织，以专家现场评审方式， 通过选手自主命题和随机命题讲解，评选出获奖者，并颁发证书。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68"/>
        <w:jc w:val="left"/>
        <w:textAlignment w:val="baseline"/>
        <w:outlineLvl w:val="1"/>
        <w:rPr>
          <w:rFonts w:hint="default" w:ascii="Times New Roman" w:hAnsi="Times New Roman" w:eastAsia="楷体" w:cs="Times New Roman"/>
          <w:snapToGrid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 w:val="0"/>
          <w:color w:val="auto"/>
          <w:spacing w:val="5"/>
          <w:kern w:val="0"/>
          <w:sz w:val="32"/>
          <w:szCs w:val="32"/>
          <w:lang w:val="en-US" w:eastAsia="zh-CN"/>
        </w:rPr>
        <w:t>（二）半决赛推荐材料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58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省初赛选拔的1-2名选手需提交参加半决赛有关材料，具体清单如下：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68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1.《2025年自然资源科普讲解大赛参赛选手报名表》（盖章纸质表及Word文档和PDF盖章扫描件各一份）（推荐单位应为省自然资源厅，请留出不填）。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2.参赛选手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我与科普的故事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个人展示视频（1分钟）。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3.半决赛自主命题讲解视频（4分钟）。借助PPT、视频等进行讲解的，请单独提交PPT、视频等电子版。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请将所有材料统一刻录至U盘（或光盘）。选手自主命题自行设计视频场景，讲解视频须为横屏拍摄全身或半身镜头，连贯录制，不可有镜头切换和剪辑，为MP4格式，画面比例16:9，可配字幕，全高清1920*1080，大小不超过500M，音频双声道。PPT统一为WPS、Office2010等通用版本，文件不大于100M。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t>（注：需严格按照视频格式要求制作视频，否则无效。）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仿宋_GB2312" w:cs="Times New Roman"/>
          <w:snapToGrid w:val="0"/>
          <w:color w:val="auto"/>
          <w:spacing w:val="8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7" w:h="16840"/>
          <w:pgMar w:top="1440" w:right="1800" w:bottom="1440" w:left="1800" w:header="0" w:footer="52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outlineLvl w:val="0"/>
        <w:rPr>
          <w:rFonts w:hint="default" w:ascii="Times New Roman" w:hAnsi="Times New Roman" w:eastAsia="仿宋" w:cs="Times New Roman"/>
          <w:color w:val="auto"/>
          <w:spacing w:val="3"/>
          <w:sz w:val="31"/>
          <w:szCs w:val="31"/>
        </w:rPr>
      </w:pPr>
      <w:r>
        <w:rPr>
          <w:rFonts w:hint="default" w:ascii="Times New Roman" w:hAnsi="Times New Roman" w:eastAsia="方正小标宋简体" w:cs="Times New Roman"/>
          <w:color w:val="auto"/>
          <w:spacing w:val="8"/>
          <w:sz w:val="35"/>
          <w:szCs w:val="35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8"/>
          <w:sz w:val="35"/>
          <w:szCs w:val="35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pacing w:val="8"/>
          <w:sz w:val="35"/>
          <w:szCs w:val="35"/>
        </w:rPr>
        <w:t>年自然资源科普讲解大赛活动回执</w:t>
      </w:r>
    </w:p>
    <w:p>
      <w:pPr>
        <w:pageBreakBefore w:val="0"/>
        <w:wordWrap/>
        <w:overflowPunct/>
        <w:topLinePunct w:val="0"/>
        <w:bidi w:val="0"/>
        <w:spacing w:before="130" w:line="520" w:lineRule="exact"/>
        <w:ind w:right="1440" w:firstLine="948" w:firstLineChars="300"/>
        <w:outlineLvl w:val="0"/>
        <w:rPr>
          <w:rFonts w:hint="default" w:ascii="Times New Roman" w:hAnsi="Times New Roman" w:eastAsia="仿宋" w:cs="Times New Roman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1"/>
          <w:szCs w:val="31"/>
        </w:rPr>
        <w:t>推荐单位</w:t>
      </w:r>
      <w:r>
        <w:rPr>
          <w:rFonts w:hint="default" w:ascii="Times New Roman" w:hAnsi="Times New Roman" w:eastAsia="仿宋" w:cs="Times New Roman"/>
          <w:color w:val="auto"/>
          <w:spacing w:val="3"/>
          <w:sz w:val="31"/>
          <w:szCs w:val="31"/>
        </w:rPr>
        <w:t>：</w:t>
      </w: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17"/>
        <w:tblW w:w="86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231"/>
        <w:gridCol w:w="1231"/>
        <w:gridCol w:w="1232"/>
        <w:gridCol w:w="1232"/>
        <w:gridCol w:w="1232"/>
        <w:gridCol w:w="1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236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9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项目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9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9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9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7"/>
                <w:sz w:val="28"/>
                <w:szCs w:val="28"/>
              </w:rPr>
              <w:t>民族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153" w:line="520" w:lineRule="exact"/>
              <w:ind w:right="33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8"/>
                <w:szCs w:val="28"/>
              </w:rPr>
              <w:t>作单位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153" w:line="520" w:lineRule="exact"/>
              <w:ind w:left="353" w:right="260" w:hanging="69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职务/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153" w:line="520" w:lineRule="exact"/>
              <w:ind w:left="387" w:right="332" w:hanging="34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4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79" w:hRule="atLeast"/>
        </w:trPr>
        <w:tc>
          <w:tcPr>
            <w:tcW w:w="1236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91"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</w:rPr>
              <w:t>领队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236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before="153" w:line="520" w:lineRule="exact"/>
              <w:ind w:right="331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  <w:t>参赛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before="153" w:line="520" w:lineRule="exact"/>
              <w:ind w:right="33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8"/>
                <w:szCs w:val="28"/>
                <w:lang w:eastAsia="zh-CN"/>
              </w:rPr>
              <w:t>选手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pStyle w:val="16"/>
              <w:pageBreakBefore w:val="0"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ind w:firstLine="0" w:firstLineChars="0"/>
        <w:jc w:val="center"/>
        <w:outlineLvl w:val="0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  <w:t>2025年自然资源科普讲解大赛参赛选手报名表</w:t>
      </w:r>
    </w:p>
    <w:p>
      <w:pPr>
        <w:pageBreakBefore w:val="0"/>
        <w:wordWrap/>
        <w:overflowPunct/>
        <w:topLinePunct w:val="0"/>
        <w:bidi w:val="0"/>
        <w:spacing w:line="52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</w:pPr>
    </w:p>
    <w:tbl>
      <w:tblPr>
        <w:tblStyle w:val="13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410"/>
        <w:gridCol w:w="1134"/>
        <w:gridCol w:w="164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 别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 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240" w:firstLineChars="10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 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讲解主题</w:t>
            </w:r>
          </w:p>
        </w:tc>
        <w:tc>
          <w:tcPr>
            <w:tcW w:w="5188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41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所在单位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推荐意见</w:t>
            </w:r>
          </w:p>
        </w:tc>
        <w:tc>
          <w:tcPr>
            <w:tcW w:w="6868" w:type="dxa"/>
            <w:gridSpan w:val="4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（盖章）          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4" w:hRule="atLeast"/>
        </w:trPr>
        <w:tc>
          <w:tcPr>
            <w:tcW w:w="141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</w:rPr>
              <w:t>推荐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</w:rPr>
              <w:t>单位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pacing w:val="-4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24"/>
              </w:rPr>
              <w:t>意见</w:t>
            </w:r>
          </w:p>
        </w:tc>
        <w:tc>
          <w:tcPr>
            <w:tcW w:w="6868" w:type="dxa"/>
            <w:gridSpan w:val="4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（盖章）          </w:t>
            </w:r>
          </w:p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righ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  注</w:t>
            </w:r>
          </w:p>
        </w:tc>
        <w:tc>
          <w:tcPr>
            <w:tcW w:w="6868" w:type="dxa"/>
            <w:gridSpan w:val="4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20" w:lineRule="exact"/>
              <w:ind w:firstLine="48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cs="Times New Roman"/>
          <w:color w:val="auto"/>
        </w:rPr>
      </w:pPr>
    </w:p>
    <w:p>
      <w:pPr>
        <w:ind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2025年自然资源科普讲解大赛优秀组织奖申报表</w:t>
      </w:r>
    </w:p>
    <w:tbl>
      <w:tblPr>
        <w:tblStyle w:val="1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1"/>
        <w:gridCol w:w="2350"/>
        <w:gridCol w:w="1389"/>
        <w:gridCol w:w="30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单位名称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>
            <w:pPr>
              <w:spacing w:line="600" w:lineRule="exact"/>
              <w:ind w:firstLine="2160" w:firstLineChars="900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联系人姓名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  务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textAlignment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textAlignment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 箱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textAlignment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ind w:firstLine="0" w:firstLineChars="0"/>
              <w:textAlignment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本单位组织开展相关工作情况简介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请从单位重视程度、活动组织开展情况、选手数量和水平、活动效果和宣传等方面作简要介绍。</w:t>
            </w:r>
          </w:p>
          <w:p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</w:p>
          <w:p>
            <w:pPr>
              <w:spacing w:line="600" w:lineRule="exact"/>
              <w:ind w:firstLine="480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</w:p>
          <w:p>
            <w:pPr>
              <w:pStyle w:val="12"/>
              <w:ind w:left="640" w:firstLine="480"/>
              <w:rPr>
                <w:rFonts w:hint="eastAsia"/>
                <w:color w:val="auto"/>
                <w:sz w:val="24"/>
              </w:rPr>
            </w:pPr>
          </w:p>
          <w:p>
            <w:pPr>
              <w:pStyle w:val="11"/>
              <w:ind w:firstLine="320"/>
              <w:rPr>
                <w:rFonts w:hint="eastAsia"/>
                <w:color w:val="auto"/>
              </w:rPr>
            </w:pPr>
          </w:p>
          <w:p>
            <w:pPr>
              <w:pStyle w:val="12"/>
              <w:spacing w:line="600" w:lineRule="exact"/>
              <w:ind w:left="0" w:leftChars="0" w:firstLine="0" w:firstLineChars="0"/>
              <w:textAlignment w:val="center"/>
              <w:rPr>
                <w:rFonts w:hint="eastAsia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textAlignment w:val="center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是否参加优秀组织奖评选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是，提供材料：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比赛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照片  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媒体报道        </w:t>
            </w:r>
          </w:p>
          <w:p>
            <w:pPr>
              <w:spacing w:line="300" w:lineRule="auto"/>
              <w:ind w:firstLine="0" w:firstLineChars="0"/>
              <w:jc w:val="left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组织方案、情况报告        </w:t>
            </w:r>
            <w:r>
              <w:rPr>
                <w:rFonts w:ascii="Times New Roman" w:hAnsi="Times New Roman"/>
                <w:color w:val="auto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其他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预赛场次：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>选手人数（包含各级预赛）：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</w:t>
            </w:r>
          </w:p>
          <w:p>
            <w:pPr>
              <w:spacing w:line="300" w:lineRule="auto"/>
              <w:ind w:firstLine="0" w:firstLineChars="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观众人数：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>（线上）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</w:rPr>
              <w:t>（线下）</w:t>
            </w:r>
          </w:p>
          <w:p>
            <w:pPr>
              <w:spacing w:line="600" w:lineRule="exact"/>
              <w:ind w:firstLine="0" w:firstLineChars="0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spacing w:line="600" w:lineRule="exact"/>
              <w:ind w:firstLine="480"/>
              <w:rPr>
                <w:rFonts w:hint="eastAsia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  注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>
            <w:pPr>
              <w:spacing w:line="600" w:lineRule="exact"/>
              <w:ind w:firstLine="480"/>
              <w:jc w:val="center"/>
              <w:rPr>
                <w:rFonts w:hint="eastAsia" w:hAnsi="宋体"/>
                <w:color w:val="auto"/>
                <w:sz w:val="24"/>
              </w:rPr>
            </w:pPr>
          </w:p>
        </w:tc>
      </w:tr>
    </w:tbl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74" w:lineRule="auto"/>
      <w:ind w:left="1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4" w:lineRule="auto"/>
      <w:ind w:firstLine="252" w:firstLineChars="0"/>
      <w:jc w:val="both"/>
      <w:textAlignment w:val="baseline"/>
      <w:rPr>
        <w:rFonts w:ascii="FangSong_GB2312" w:hAnsi="FangSong_GB2312" w:eastAsia="FangSong_GB2312" w:cs="FangSong_GB2312"/>
        <w:snapToGrid w:val="0"/>
        <w:color w:val="000000"/>
        <w:kern w:val="0"/>
        <w:sz w:val="28"/>
        <w:szCs w:val="28"/>
        <w:lang w:val="en-US" w:eastAsia="en-US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6pebnPAAAABQEAAA8AAAAAAAAAAQAgAAAAOAAAAGRycy9kb3ducmV2LnhtbFBL&#10;AQIUABQAAAAIAIdO4kCVPPyisAEAAE4DAAAOAAAAAAAAAAEAIAAAAD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78F1"/>
    <w:rsid w:val="05D15877"/>
    <w:rsid w:val="067032E2"/>
    <w:rsid w:val="09F577F7"/>
    <w:rsid w:val="0FE73EE9"/>
    <w:rsid w:val="11C91AF8"/>
    <w:rsid w:val="13693592"/>
    <w:rsid w:val="163666E3"/>
    <w:rsid w:val="16ADE0F8"/>
    <w:rsid w:val="177F2B32"/>
    <w:rsid w:val="17FF2E23"/>
    <w:rsid w:val="195A572B"/>
    <w:rsid w:val="1A514D80"/>
    <w:rsid w:val="1AAE0B99"/>
    <w:rsid w:val="1B9413C8"/>
    <w:rsid w:val="1BAF2D56"/>
    <w:rsid w:val="1BB6133F"/>
    <w:rsid w:val="1ECE699F"/>
    <w:rsid w:val="1F9F9C78"/>
    <w:rsid w:val="1FFB5F9D"/>
    <w:rsid w:val="260B04D9"/>
    <w:rsid w:val="268B33C8"/>
    <w:rsid w:val="268F110A"/>
    <w:rsid w:val="29776A2F"/>
    <w:rsid w:val="2C077995"/>
    <w:rsid w:val="2C51293F"/>
    <w:rsid w:val="2EBF5582"/>
    <w:rsid w:val="2EEE0BD7"/>
    <w:rsid w:val="2FFC2AEA"/>
    <w:rsid w:val="347745B5"/>
    <w:rsid w:val="35FBA573"/>
    <w:rsid w:val="374970B3"/>
    <w:rsid w:val="377E3595"/>
    <w:rsid w:val="37D8148C"/>
    <w:rsid w:val="37EFCBEF"/>
    <w:rsid w:val="3AF7E5AD"/>
    <w:rsid w:val="3AFEE139"/>
    <w:rsid w:val="3B413BB9"/>
    <w:rsid w:val="3C77E1D2"/>
    <w:rsid w:val="3CFB2A73"/>
    <w:rsid w:val="3D6D3EEF"/>
    <w:rsid w:val="3DCE3E6E"/>
    <w:rsid w:val="3EA03A5D"/>
    <w:rsid w:val="3F2A34F7"/>
    <w:rsid w:val="3F37C985"/>
    <w:rsid w:val="3F7F29CC"/>
    <w:rsid w:val="3FFAA34B"/>
    <w:rsid w:val="3FFB3980"/>
    <w:rsid w:val="3FFF5CE5"/>
    <w:rsid w:val="41523008"/>
    <w:rsid w:val="451A5BEB"/>
    <w:rsid w:val="45B63B66"/>
    <w:rsid w:val="45F35817"/>
    <w:rsid w:val="46DFA176"/>
    <w:rsid w:val="473F2D0D"/>
    <w:rsid w:val="47B5B90B"/>
    <w:rsid w:val="484D0086"/>
    <w:rsid w:val="48A71E8C"/>
    <w:rsid w:val="48C52312"/>
    <w:rsid w:val="4ABBAF20"/>
    <w:rsid w:val="4B7F4FCB"/>
    <w:rsid w:val="4BEFF07F"/>
    <w:rsid w:val="4D896004"/>
    <w:rsid w:val="4D9645AE"/>
    <w:rsid w:val="4DB779DD"/>
    <w:rsid w:val="4F0F7E89"/>
    <w:rsid w:val="4FEB87F9"/>
    <w:rsid w:val="4FFEC32A"/>
    <w:rsid w:val="50B959A2"/>
    <w:rsid w:val="51DBBDCA"/>
    <w:rsid w:val="52A631B4"/>
    <w:rsid w:val="5477813F"/>
    <w:rsid w:val="557F7B8E"/>
    <w:rsid w:val="56EF1B4A"/>
    <w:rsid w:val="57B7A1FC"/>
    <w:rsid w:val="58BA3515"/>
    <w:rsid w:val="5A2FA7CA"/>
    <w:rsid w:val="5B3F81A7"/>
    <w:rsid w:val="5E2FBE25"/>
    <w:rsid w:val="5EBF20DB"/>
    <w:rsid w:val="5EED0743"/>
    <w:rsid w:val="5EFB14FA"/>
    <w:rsid w:val="5EFF81D9"/>
    <w:rsid w:val="5F490556"/>
    <w:rsid w:val="5F7F8B53"/>
    <w:rsid w:val="5FA7A420"/>
    <w:rsid w:val="5FADCE5F"/>
    <w:rsid w:val="5FBD9ED4"/>
    <w:rsid w:val="5FFA1109"/>
    <w:rsid w:val="60DF4849"/>
    <w:rsid w:val="61FE6498"/>
    <w:rsid w:val="621C6FEF"/>
    <w:rsid w:val="628D3A49"/>
    <w:rsid w:val="6429154F"/>
    <w:rsid w:val="65CB4FB4"/>
    <w:rsid w:val="663995EB"/>
    <w:rsid w:val="66965456"/>
    <w:rsid w:val="671DB4CA"/>
    <w:rsid w:val="67DAA43A"/>
    <w:rsid w:val="67EDCE60"/>
    <w:rsid w:val="67F25CBA"/>
    <w:rsid w:val="67F5E2E9"/>
    <w:rsid w:val="67FFB403"/>
    <w:rsid w:val="68CEFEE3"/>
    <w:rsid w:val="69635503"/>
    <w:rsid w:val="69F7FC6F"/>
    <w:rsid w:val="6ACEB02B"/>
    <w:rsid w:val="6BED5938"/>
    <w:rsid w:val="6C6C46CF"/>
    <w:rsid w:val="6D8EB273"/>
    <w:rsid w:val="6DB4FD84"/>
    <w:rsid w:val="6FCFE41B"/>
    <w:rsid w:val="6FD31C1A"/>
    <w:rsid w:val="6FDDDADB"/>
    <w:rsid w:val="6FEF72E3"/>
    <w:rsid w:val="6FF8A4A1"/>
    <w:rsid w:val="72768251"/>
    <w:rsid w:val="72FD888F"/>
    <w:rsid w:val="72FFA288"/>
    <w:rsid w:val="73F5AF16"/>
    <w:rsid w:val="73FEBAC1"/>
    <w:rsid w:val="745443C6"/>
    <w:rsid w:val="753D3AA7"/>
    <w:rsid w:val="757A931B"/>
    <w:rsid w:val="7583E835"/>
    <w:rsid w:val="759E43EA"/>
    <w:rsid w:val="75BFE446"/>
    <w:rsid w:val="764DFFD5"/>
    <w:rsid w:val="769DE450"/>
    <w:rsid w:val="76F34D0B"/>
    <w:rsid w:val="76FFD990"/>
    <w:rsid w:val="772F55FD"/>
    <w:rsid w:val="77776550"/>
    <w:rsid w:val="777BB5DB"/>
    <w:rsid w:val="777DFA83"/>
    <w:rsid w:val="77F7980F"/>
    <w:rsid w:val="77F7BB71"/>
    <w:rsid w:val="77FE3FBD"/>
    <w:rsid w:val="77FF5308"/>
    <w:rsid w:val="795FD0F4"/>
    <w:rsid w:val="797F5306"/>
    <w:rsid w:val="79FEF2AF"/>
    <w:rsid w:val="79FFCE65"/>
    <w:rsid w:val="7AEF909E"/>
    <w:rsid w:val="7AFC00D8"/>
    <w:rsid w:val="7AFEE94F"/>
    <w:rsid w:val="7B7C21FE"/>
    <w:rsid w:val="7B7F74D8"/>
    <w:rsid w:val="7B9EEDA1"/>
    <w:rsid w:val="7BDDB5E0"/>
    <w:rsid w:val="7BDFAE28"/>
    <w:rsid w:val="7BFF45E1"/>
    <w:rsid w:val="7C717958"/>
    <w:rsid w:val="7C8FB04F"/>
    <w:rsid w:val="7CF9D380"/>
    <w:rsid w:val="7D5C7E94"/>
    <w:rsid w:val="7D690E8F"/>
    <w:rsid w:val="7D6B7821"/>
    <w:rsid w:val="7DAF3B86"/>
    <w:rsid w:val="7DBD4AD6"/>
    <w:rsid w:val="7DEEBD97"/>
    <w:rsid w:val="7DFF9855"/>
    <w:rsid w:val="7EAD00A9"/>
    <w:rsid w:val="7EF699A0"/>
    <w:rsid w:val="7EFF1D44"/>
    <w:rsid w:val="7EFFA750"/>
    <w:rsid w:val="7F338CF0"/>
    <w:rsid w:val="7F3E918E"/>
    <w:rsid w:val="7F3F923E"/>
    <w:rsid w:val="7F76987E"/>
    <w:rsid w:val="7F7B8F01"/>
    <w:rsid w:val="7F7F370B"/>
    <w:rsid w:val="7F7FC7F6"/>
    <w:rsid w:val="7F7FECC3"/>
    <w:rsid w:val="7F9D07DC"/>
    <w:rsid w:val="7F9E4E66"/>
    <w:rsid w:val="7FB6E9F4"/>
    <w:rsid w:val="7FBF31EF"/>
    <w:rsid w:val="7FC9F7C1"/>
    <w:rsid w:val="7FCB58F2"/>
    <w:rsid w:val="7FCDA131"/>
    <w:rsid w:val="7FDC9EB7"/>
    <w:rsid w:val="7FDF1A30"/>
    <w:rsid w:val="7FDFE802"/>
    <w:rsid w:val="7FE93A3A"/>
    <w:rsid w:val="7FEB2BD5"/>
    <w:rsid w:val="7FEFD62B"/>
    <w:rsid w:val="7FF7E81D"/>
    <w:rsid w:val="7FFE4F9C"/>
    <w:rsid w:val="7FFF764A"/>
    <w:rsid w:val="7FFF9849"/>
    <w:rsid w:val="89E30A4C"/>
    <w:rsid w:val="937EE22C"/>
    <w:rsid w:val="9B5FC5EA"/>
    <w:rsid w:val="9CB35990"/>
    <w:rsid w:val="9DCDFA94"/>
    <w:rsid w:val="9DFF11DB"/>
    <w:rsid w:val="9EBE17AC"/>
    <w:rsid w:val="9FAE7F89"/>
    <w:rsid w:val="A2FD4F6E"/>
    <w:rsid w:val="A7EF0732"/>
    <w:rsid w:val="AAE786A4"/>
    <w:rsid w:val="AB596667"/>
    <w:rsid w:val="ABFB1F01"/>
    <w:rsid w:val="AF1F9047"/>
    <w:rsid w:val="AF7B914E"/>
    <w:rsid w:val="AF7F592A"/>
    <w:rsid w:val="B3FD777D"/>
    <w:rsid w:val="B5BF0122"/>
    <w:rsid w:val="B6E372D4"/>
    <w:rsid w:val="B7BF79BB"/>
    <w:rsid w:val="B7E3F61A"/>
    <w:rsid w:val="B7EE46C5"/>
    <w:rsid w:val="B97C7F9C"/>
    <w:rsid w:val="B9FF5EB2"/>
    <w:rsid w:val="B9FFCA07"/>
    <w:rsid w:val="BCF569E4"/>
    <w:rsid w:val="BCFE769D"/>
    <w:rsid w:val="BDFBD8CB"/>
    <w:rsid w:val="BDFD5F82"/>
    <w:rsid w:val="BE6CB45F"/>
    <w:rsid w:val="BED9FC0E"/>
    <w:rsid w:val="BEE71079"/>
    <w:rsid w:val="BF3B727B"/>
    <w:rsid w:val="BF5C755C"/>
    <w:rsid w:val="BFDFE1CF"/>
    <w:rsid w:val="BFFEB973"/>
    <w:rsid w:val="BFFF3325"/>
    <w:rsid w:val="C16CFA19"/>
    <w:rsid w:val="C7BB33A4"/>
    <w:rsid w:val="C7DE181E"/>
    <w:rsid w:val="C9FFEAA8"/>
    <w:rsid w:val="CB628BF1"/>
    <w:rsid w:val="CBDF4060"/>
    <w:rsid w:val="CBFEB8DD"/>
    <w:rsid w:val="CE47F3E0"/>
    <w:rsid w:val="CEF7C957"/>
    <w:rsid w:val="CFDCAB68"/>
    <w:rsid w:val="D1EF33A4"/>
    <w:rsid w:val="D2E3F03A"/>
    <w:rsid w:val="D59FE1C6"/>
    <w:rsid w:val="D5F72A1A"/>
    <w:rsid w:val="D72B6FB4"/>
    <w:rsid w:val="D7BB7C2F"/>
    <w:rsid w:val="D7BFBE23"/>
    <w:rsid w:val="D7FF0008"/>
    <w:rsid w:val="D90CD9DB"/>
    <w:rsid w:val="DAA59A67"/>
    <w:rsid w:val="DB5EB047"/>
    <w:rsid w:val="DBCEB6A8"/>
    <w:rsid w:val="DBFF5A55"/>
    <w:rsid w:val="DBFFE8E2"/>
    <w:rsid w:val="DE1F7F08"/>
    <w:rsid w:val="DF3FB871"/>
    <w:rsid w:val="DF7B8377"/>
    <w:rsid w:val="DFFD5081"/>
    <w:rsid w:val="DFFFB986"/>
    <w:rsid w:val="E2FDB561"/>
    <w:rsid w:val="E3EBC08B"/>
    <w:rsid w:val="E6BEC730"/>
    <w:rsid w:val="E74574CC"/>
    <w:rsid w:val="E7C16D50"/>
    <w:rsid w:val="E7FAFFBF"/>
    <w:rsid w:val="E7FB41E9"/>
    <w:rsid w:val="E9F312C9"/>
    <w:rsid w:val="ED76A96B"/>
    <w:rsid w:val="EE772FCC"/>
    <w:rsid w:val="EEFA8F61"/>
    <w:rsid w:val="EEFED913"/>
    <w:rsid w:val="EF2D981B"/>
    <w:rsid w:val="EF2FDF82"/>
    <w:rsid w:val="EF5FF0CB"/>
    <w:rsid w:val="EF77302E"/>
    <w:rsid w:val="EF7F034F"/>
    <w:rsid w:val="EFB522D1"/>
    <w:rsid w:val="EFCE4A21"/>
    <w:rsid w:val="EFCFC975"/>
    <w:rsid w:val="EFD99B9A"/>
    <w:rsid w:val="EFDDEAE7"/>
    <w:rsid w:val="F3FF3557"/>
    <w:rsid w:val="F4AF852F"/>
    <w:rsid w:val="F5F957FE"/>
    <w:rsid w:val="F5FDC889"/>
    <w:rsid w:val="F5FFCE59"/>
    <w:rsid w:val="F64E15C6"/>
    <w:rsid w:val="F6BC616D"/>
    <w:rsid w:val="F75BCCFD"/>
    <w:rsid w:val="F7796333"/>
    <w:rsid w:val="F78F65C1"/>
    <w:rsid w:val="F7B7A19C"/>
    <w:rsid w:val="F7BE6B09"/>
    <w:rsid w:val="F7D97E1B"/>
    <w:rsid w:val="F7E3551E"/>
    <w:rsid w:val="F7EC2940"/>
    <w:rsid w:val="F9A7F9E8"/>
    <w:rsid w:val="FB5FDEA1"/>
    <w:rsid w:val="FB771C40"/>
    <w:rsid w:val="FB7F12AC"/>
    <w:rsid w:val="FBAFBB84"/>
    <w:rsid w:val="FBBD9466"/>
    <w:rsid w:val="FBBF083E"/>
    <w:rsid w:val="FBEFB676"/>
    <w:rsid w:val="FBF366AA"/>
    <w:rsid w:val="FC3EB0C7"/>
    <w:rsid w:val="FCBCE666"/>
    <w:rsid w:val="FD377832"/>
    <w:rsid w:val="FD4FC57B"/>
    <w:rsid w:val="FD7F8FB0"/>
    <w:rsid w:val="FDBB43CE"/>
    <w:rsid w:val="FDD7FF75"/>
    <w:rsid w:val="FDDE068A"/>
    <w:rsid w:val="FDE97127"/>
    <w:rsid w:val="FDEE60CA"/>
    <w:rsid w:val="FDEFFEB3"/>
    <w:rsid w:val="FDF321E4"/>
    <w:rsid w:val="FDFB393B"/>
    <w:rsid w:val="FDFEA1B5"/>
    <w:rsid w:val="FDFF3779"/>
    <w:rsid w:val="FDFF9906"/>
    <w:rsid w:val="FDFFABD5"/>
    <w:rsid w:val="FE4EA69B"/>
    <w:rsid w:val="FE7FCF3E"/>
    <w:rsid w:val="FEB6FA34"/>
    <w:rsid w:val="FEBB406C"/>
    <w:rsid w:val="FEBBFB9B"/>
    <w:rsid w:val="FEBE3E78"/>
    <w:rsid w:val="FEE5C042"/>
    <w:rsid w:val="FEEE7D62"/>
    <w:rsid w:val="FEF7D307"/>
    <w:rsid w:val="FEFD8EA2"/>
    <w:rsid w:val="FF3C74F5"/>
    <w:rsid w:val="FF3D3BD2"/>
    <w:rsid w:val="FF3F1A6D"/>
    <w:rsid w:val="FF63A3BF"/>
    <w:rsid w:val="FF6FBE6F"/>
    <w:rsid w:val="FF7E7D47"/>
    <w:rsid w:val="FF874423"/>
    <w:rsid w:val="FFA681C2"/>
    <w:rsid w:val="FFB76747"/>
    <w:rsid w:val="FFB9DF06"/>
    <w:rsid w:val="FFCBF00E"/>
    <w:rsid w:val="FFE0F618"/>
    <w:rsid w:val="FFE436BC"/>
    <w:rsid w:val="FFE60EF8"/>
    <w:rsid w:val="FFE7070D"/>
    <w:rsid w:val="FFEE7521"/>
    <w:rsid w:val="FFEFA083"/>
    <w:rsid w:val="FFF105E8"/>
    <w:rsid w:val="FFF70D9C"/>
    <w:rsid w:val="FFFD7D62"/>
    <w:rsid w:val="FFFF1A1B"/>
    <w:rsid w:val="FFFF5874"/>
    <w:rsid w:val="FFFF5F2C"/>
    <w:rsid w:val="FFFF8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ind w:leftChars="0"/>
      <w:outlineLvl w:val="1"/>
    </w:pPr>
    <w:rPr>
      <w:rFonts w:ascii="Cambria" w:hAnsi="Cambria" w:eastAsia="黑体" w:cs="Times New Roman"/>
      <w:bCs/>
      <w:kern w:val="0"/>
      <w:szCs w:val="32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2"/>
    </w:pPr>
    <w:rPr>
      <w:rFonts w:eastAsia="楷体_GB2312" w:cs="Times New Roman"/>
    </w:rPr>
  </w:style>
  <w:style w:type="paragraph" w:styleId="6">
    <w:name w:val="heading 4"/>
    <w:next w:val="1"/>
    <w:qFormat/>
    <w:uiPriority w:val="0"/>
    <w:pPr>
      <w:keepNext/>
      <w:keepLines/>
      <w:widowControl w:val="0"/>
      <w:adjustRightInd w:val="0"/>
      <w:snapToGrid w:val="0"/>
      <w:spacing w:before="280" w:after="290" w:line="376" w:lineRule="auto"/>
      <w:ind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32"/>
      <w:szCs w:val="28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paragraph" w:styleId="12">
    <w:name w:val="Body Text First Indent 2"/>
    <w:basedOn w:val="8"/>
    <w:next w:val="11"/>
    <w:qFormat/>
    <w:uiPriority w:val="0"/>
    <w:pPr>
      <w:ind w:firstLine="420" w:firstLineChars="200"/>
    </w:pPr>
  </w:style>
  <w:style w:type="character" w:customStyle="1" w:styleId="15">
    <w:name w:val="标题 3 Char"/>
    <w:link w:val="5"/>
    <w:qFormat/>
    <w:uiPriority w:val="0"/>
    <w:rPr>
      <w:rFonts w:eastAsia="楷体_GB2312" w:cs="Times New Roman"/>
    </w:r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附件标题"/>
    <w:next w:val="1"/>
    <w:qFormat/>
    <w:uiPriority w:val="0"/>
    <w:pPr>
      <w:keepNext w:val="0"/>
      <w:keepLines w:val="0"/>
      <w:widowControl w:val="0"/>
      <w:adjustRightInd w:val="0"/>
      <w:snapToGrid w:val="0"/>
      <w:spacing w:before="0" w:after="0" w:line="300" w:lineRule="auto"/>
      <w:ind w:firstLine="880" w:firstLineChars="20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2135</Words>
  <Characters>2316</Characters>
  <Lines>0</Lines>
  <Paragraphs>0</Paragraphs>
  <TotalTime>2</TotalTime>
  <ScaleCrop>false</ScaleCrop>
  <LinksUpToDate>false</LinksUpToDate>
  <CharactersWithSpaces>2402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2025-02-23T10:15:00Z</dcterms:created>
  <dc:creator>USER</dc:creator>
  <cp:lastModifiedBy>ysgz</cp:lastModifiedBy>
  <cp:lastPrinted>2025-03-02T17:07:00Z</cp:lastPrinted>
  <dcterms:modified xsi:type="dcterms:W3CDTF">2025-03-03T11:06:30Z</dcterms:modified>
  <dc:title>贵州省自然资源厅关于开展2025年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eyJoZGlkIjoiZDA1MWRlOTE3ODk4MzRmYmJlNTNkOWUzMzQzMDI5NmUiLCJ1c2VySWQiOiI5NTU4NjIzMzQifQ==</vt:lpwstr>
  </property>
  <property fmtid="{D5CDD505-2E9C-101B-9397-08002B2CF9AE}" pid="4" name="ICV">
    <vt:lpwstr>36D5C88A8D804233B5C10F84DD015697_12</vt:lpwstr>
  </property>
</Properties>
</file>