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贵州毕节百矿大能煤业有限责任公司水城县玉舍乡中寨煤矿矿业权价款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贵州毕节百矿大能煤业有限责任公司水城县玉舍乡中寨煤矿矿业权价款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12</w:t>
      </w:r>
      <w:r>
        <w:rPr>
          <w:rFonts w:hint="default" w:ascii="仿宋" w:hAnsi="仿宋" w:eastAsia="仿宋"/>
          <w:sz w:val="32"/>
          <w:szCs w:val="32"/>
        </w:rPr>
        <w:t>日。</w:t>
      </w:r>
      <w:bookmarkStart w:id="0" w:name="_GoBack"/>
      <w:bookmarkEnd w:id="0"/>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毕节百矿大能煤业有限责任公司煤矿企业兼并重组实施方案（第二批）的批复》（黔煤兼并重组办〔2017〕64号），该矿山由水城县玉舍乡中寨煤矿与荔波县合茂煤矿及平坝县老黑洞煤矿兼并重组而成，兼并重组后的范围含原水城县中寨煤矿范围，荔波县合茂煤矿与平坝县老黑洞煤矿属关闭置换指标，本次矿业权价款处置不予考虑，待企业主体完成全部煤矿工作后，申请资源置换时再行处置。</w:t>
      </w:r>
    </w:p>
    <w:p>
      <w:pPr>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兼并重组前原水城县中寨煤矿最近一次价款于2008年办理采矿权整合延续时处置的。根据黔国土资储备字〔2008〕667号，备案煤炭总资源储量580.2万吨，保有资源储量562.9万吨。计算采矿权价款658万元[（0.8元/吨×303.3万吨=242.64万元）+（1.6元/吨×259.6万吨=415.36万元）=658万元]（办文编号001-08-20085880）。价款已缴清。</w:t>
      </w:r>
    </w:p>
    <w:p>
      <w:pPr>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水城县中寨煤矿申请进行矿业权价款处置。根据《关于&lt;贵州毕节百矿大能煤业有限责任公司水城县玉舍乡中寨煤矿（兼并重组调整）资源储量核实报告&gt;矿产资源储量评审备案证明的函》及专家评审意见书（黔自然资储备字〔2019〕156号），截止2019年6月30日，水城县中寨煤矿矿区范围内煤炭总资源储量643万吨，保有资源储量602万吨，先期开采地段总资源储量573万吨，煤类为贫煤，估算煤层气资源量0.96亿立方米。矿业权人已承诺，本次申请处置矿业权出让收益时未提供《三合一方案》，按本次备案的总资源储量处置矿业权价款，待《三合一方案》编制完成后，不再重新计算矿业权价款。</w:t>
      </w:r>
    </w:p>
    <w:p>
      <w:pPr>
        <w:snapToGrid w:val="0"/>
        <w:spacing w:line="40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本次矿业权价款处置利用拟动用煤炭总资源储量扣除原已处置过价款备案的总资源储量后为62.8万吨（643万吨-580.2万吨=62.8万吨），计算矿业权价款为188.4万元（3元/吨×62.8万吨=188.4万元）。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43865"/>
    <w:rsid w:val="133463EC"/>
    <w:rsid w:val="1C143865"/>
    <w:rsid w:val="1F1F0D0D"/>
    <w:rsid w:val="2ABD3B97"/>
    <w:rsid w:val="35686B54"/>
    <w:rsid w:val="3DBC6561"/>
    <w:rsid w:val="42210702"/>
    <w:rsid w:val="54B47C53"/>
    <w:rsid w:val="55FA0552"/>
    <w:rsid w:val="583D4D85"/>
    <w:rsid w:val="61972251"/>
    <w:rsid w:val="6AFC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2022-12-02T06:54:00Z</dcterms:created>
  <dc:creator>李琴(矿产资源保护监督处)</dc:creator>
  <cp:lastModifiedBy>李琴(矿产资源保护监督处)</cp:lastModifiedBy>
  <dcterms:modified xsi:type="dcterms:W3CDTF">2022-12-02T06:55:19Z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