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贵州飞尚能源有限公司六枝特区郎岱镇平桥煤矿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bookmarkStart w:id="0" w:name="_GoBack"/>
      <w:r>
        <w:rPr>
          <w:rFonts w:hint="eastAsia" w:hAnsi="宋体"/>
          <w:kern w:val="0"/>
          <w:sz w:val="44"/>
          <w:szCs w:val="44"/>
          <w:lang w:val="zh-CN"/>
        </w:rPr>
        <w:t>矿业权价款</w:t>
      </w:r>
      <w:r>
        <w:rPr>
          <w:rFonts w:hAnsi="宋体"/>
          <w:kern w:val="0"/>
          <w:sz w:val="44"/>
          <w:szCs w:val="44"/>
          <w:lang w:val="zh-CN"/>
        </w:rPr>
        <w:t>计算结果公示</w:t>
      </w:r>
    </w:p>
    <w:bookmarkEnd w:id="0"/>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贵州飞尚能源有限公司六枝特区郎岱镇平桥煤矿矿业权价款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12</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飞尚（浦鑫）能源有限公司煤矿企业兼并重组实施方案的批复》（黔煤兼并重组办〔2015〕11号），该矿山由六枝特区郎岱镇平桥煤矿与六枝特区启文煤矿兼并重组而成，兼并重组后的范围含原两矿范围。</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兼并重组前原六枝特区平桥煤矿最近一次价款于2007年办理采矿权扩能扩界时处置的。根据黔国土资储备字〔2005〕129号，备案煤炭总资源储量599万吨，亦为保有资源储量。计算采矿权价款479.2万元（0.8元/吨×599万吨=479.2万元）（办文编号001-08-20076405）。价款已缴清；</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兼并重组前原六枝特区启文煤矿最近一次价款于2008年办理采矿权扩能扩界时处置的。根据黔国土资储备字〔2008〕530号，备案煤炭总资源储量301.4万吨，保有资源储量281万吨。计算采矿权价款388万元[（0.8元/吨×77万吨=61.6万元）+(1.6元/吨×204万吨=326.4万元）=388万元]（办文编号001-08-20084474）。价款已缴清；</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综上，贵州飞尚能源有限公司六枝特区郎岱镇平桥煤矿兼并重组前，原两矿总资源储量合计900.4万吨（599万吨+301.4万吨=900.4万吨）。</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六枝特区平桥煤矿申请进行矿业权价款处置。根据《关于&lt;贵州飞尚能源有限公司六枝特区郎岱镇平桥煤矿（预留）资源储量核实及勘探报告&gt;矿产资源储量评审备案证明的函》及专家评审意见书（黔自然资储备字〔2019〕71号），截止2018年4月30日，六枝特区平桥煤矿矿区范围内煤炭总资源储量3833万吨，保有资源储量3743万吨，先期开采地段保有资源储量1200万吨，煤类为焦煤，估算煤层气资源量1.0345亿立方米。矿业权人已承诺，本次申请处置矿业权出让收益时未提供《三合一方案》，按本次备案的总资源储量处置矿业权价款，待《三合一方案》编制完成后，不再重新计算矿业权价款。</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本次矿业权价款处置利用拟动用煤炭总资源储量扣除原两矿已处置过价款备案的总资源储量后为2932.6万吨（3833万吨-900.4万吨=2932.6万吨），计算矿业权价款为17595.6万元（6元/吨×2932.6万吨=17595.6万元）。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81689"/>
    <w:rsid w:val="133463EC"/>
    <w:rsid w:val="1F1F0D0D"/>
    <w:rsid w:val="25E81689"/>
    <w:rsid w:val="2ABD3B97"/>
    <w:rsid w:val="35686B54"/>
    <w:rsid w:val="3DBC6561"/>
    <w:rsid w:val="42210702"/>
    <w:rsid w:val="54B47C53"/>
    <w:rsid w:val="55FA0552"/>
    <w:rsid w:val="583D4D85"/>
    <w:rsid w:val="61972251"/>
    <w:rsid w:val="6AFC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2022-12-02T01:51:00Z</dcterms:created>
  <dc:creator>李琴矿产资源保护监督处</dc:creator>
  <cp:lastModifiedBy>李琴矿产资源保护监督处</cp:lastModifiedBy>
  <dcterms:modified xsi:type="dcterms:W3CDTF">2022-12-02T01:51:58Z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