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贵州中泰丰晟化工有限公司开阳丰晟磷矿矿业权出让收益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bookmarkStart w:id="0" w:name="_GoBack"/>
      <w:bookmarkEnd w:id="0"/>
    </w:p>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贵州中泰丰晟化工有限公司开阳丰晟磷矿矿业权出让收益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　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贵州中泰丰晟化工有限公司开阳丰晟磷矿于2017年办理转让变更，采矿权人由开阳县双山坪磷化工有限公司变更为贵州中泰丰晟化工有限公司，矿山名称由开阳县冯三镇双峰磷矿变更为贵州中泰丰晟化工有限公司开阳丰晟磷矿</w:t>
      </w:r>
      <w:r>
        <w:rPr>
          <w:rFonts w:hint="eastAsia" w:ascii="仿宋" w:hAnsi="仿宋" w:eastAsia="仿宋"/>
          <w:w w:val="92"/>
          <w:sz w:val="32"/>
          <w:szCs w:val="32"/>
        </w:rPr>
        <w:t>（办文编号001</w:t>
      </w:r>
      <w:r>
        <w:rPr>
          <w:rFonts w:ascii="仿宋" w:hAnsi="仿宋" w:eastAsia="仿宋"/>
          <w:w w:val="92"/>
          <w:sz w:val="32"/>
          <w:szCs w:val="32"/>
        </w:rPr>
        <w:t>-</w:t>
      </w:r>
      <w:r>
        <w:rPr>
          <w:rFonts w:hint="eastAsia" w:ascii="仿宋" w:hAnsi="仿宋" w:eastAsia="仿宋"/>
          <w:w w:val="92"/>
          <w:sz w:val="32"/>
          <w:szCs w:val="32"/>
        </w:rPr>
        <w:t>22</w:t>
      </w:r>
      <w:r>
        <w:rPr>
          <w:rFonts w:ascii="仿宋" w:hAnsi="仿宋" w:eastAsia="仿宋"/>
          <w:w w:val="92"/>
          <w:sz w:val="32"/>
          <w:szCs w:val="32"/>
        </w:rPr>
        <w:t>-20</w:t>
      </w:r>
      <w:r>
        <w:rPr>
          <w:rFonts w:hint="eastAsia" w:ascii="仿宋" w:hAnsi="仿宋" w:eastAsia="仿宋"/>
          <w:w w:val="92"/>
          <w:sz w:val="32"/>
          <w:szCs w:val="32"/>
        </w:rPr>
        <w:t>1700025）</w:t>
      </w:r>
      <w:r>
        <w:rPr>
          <w:rFonts w:hint="eastAsia" w:ascii="仿宋" w:hAnsi="仿宋" w:eastAsia="仿宋"/>
          <w:sz w:val="32"/>
          <w:szCs w:val="32"/>
        </w:rPr>
        <w:t>。</w:t>
      </w:r>
    </w:p>
    <w:p>
      <w:pPr>
        <w:snapToGrid w:val="0"/>
        <w:spacing w:line="560" w:lineRule="exact"/>
        <w:ind w:firstLine="640" w:firstLineChars="200"/>
        <w:rPr>
          <w:rFonts w:hint="eastAsia" w:ascii="仿宋" w:hAnsi="仿宋" w:eastAsia="仿宋"/>
          <w:w w:val="92"/>
          <w:sz w:val="32"/>
          <w:szCs w:val="32"/>
        </w:rPr>
      </w:pPr>
      <w:r>
        <w:rPr>
          <w:rFonts w:hint="eastAsia" w:ascii="仿宋" w:hAnsi="仿宋" w:eastAsia="仿宋"/>
          <w:sz w:val="32"/>
          <w:szCs w:val="32"/>
        </w:rPr>
        <w:t>2012年办理采矿权整合延续时处置过资源价款，根据黔国土资储备字〔2010〕28号，截止2006年9月30日，备案的磷矿总资源量655万吨，保有资源量440.64万吨，开采消耗214.36万吨；截止2009年11月15日总资源量655万吨，保有资源量412万吨，开采消耗243万吨，计算价款为174.86万元（2元/吨×（412万吨-94.6万吨-56.86万吨）×10年/29.8年=174.86万元），处置磷矿矿业权价款的资源量为87.43万吨</w:t>
      </w:r>
      <w:r>
        <w:rPr>
          <w:rFonts w:hint="eastAsia" w:ascii="仿宋" w:hAnsi="仿宋" w:eastAsia="仿宋"/>
          <w:w w:val="92"/>
          <w:sz w:val="32"/>
          <w:szCs w:val="32"/>
        </w:rPr>
        <w:t>（办文编号001</w:t>
      </w:r>
      <w:r>
        <w:rPr>
          <w:rFonts w:ascii="仿宋" w:hAnsi="仿宋" w:eastAsia="仿宋"/>
          <w:w w:val="92"/>
          <w:sz w:val="32"/>
          <w:szCs w:val="32"/>
        </w:rPr>
        <w:t>-</w:t>
      </w:r>
      <w:r>
        <w:rPr>
          <w:rFonts w:hint="eastAsia" w:ascii="仿宋" w:hAnsi="仿宋" w:eastAsia="仿宋"/>
          <w:w w:val="92"/>
          <w:sz w:val="32"/>
          <w:szCs w:val="32"/>
        </w:rPr>
        <w:t>02</w:t>
      </w:r>
      <w:r>
        <w:rPr>
          <w:rFonts w:ascii="仿宋" w:hAnsi="仿宋" w:eastAsia="仿宋"/>
          <w:w w:val="92"/>
          <w:sz w:val="32"/>
          <w:szCs w:val="32"/>
        </w:rPr>
        <w:t>-20</w:t>
      </w:r>
      <w:r>
        <w:rPr>
          <w:rFonts w:hint="eastAsia" w:ascii="仿宋" w:hAnsi="仿宋" w:eastAsia="仿宋"/>
          <w:w w:val="92"/>
          <w:sz w:val="32"/>
          <w:szCs w:val="32"/>
        </w:rPr>
        <w:t>120744）。</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贵州中泰丰晟化工有限公司开阳丰晟磷矿原处置价款的资源量与2006年9月30日前开采消耗量合计为301.79万吨（87.43万吨+214.36万吨=301.79万吨）。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因采矿权延续，需处置矿业权出让收益。根据国土资源部评审备案的《关于&lt;贵州省开阳县冯三镇双峰磷矿资源储量核实报告&gt;矿产资源储量评审备案证明》（国土资储备字〔2013〕393号），截止2012年9月30日，开阳丰晟磷矿矿区范围内磷矿总资源储量557.16万吨，保有资源储量379.29万吨；伴生碘保有资源量117吨。矿业权人已承诺，本次申请处置矿业权出让收益时未提供《三合一方案》，按本次备案的总资源储量处置矿业权出让收益，待《三合一方案》编制完成后，不再重新计算矿业权出让收益。</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出让收益处置利用拟动用磷矿总资源储量即为本次备案的总资源储量，扣除原已处置过价款的磷矿价款资源量与2006年9月30日前开采消耗量后为255.37万吨（557.16万吨-301.79万吨=255.37万吨），本次计算磷矿矿业权出让收益为510.74万元（2元/吨×255.37万吨=510.74万元）；伴生的碘矿原未处置过价款，本次矿业权出让收益处置利用拟动用的资源量即为本次备案的资源量，应缴纳碘矿矿业权出让收益为1.638万元（140元/吨×117吨=1.638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综上，贵州中泰丰晟化工有限公司开阳丰晟磷矿本次矿业权出让收益合计为512.378万元（510.74万元+1.638万元=512.378万元）。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C61A5"/>
    <w:rsid w:val="133463EC"/>
    <w:rsid w:val="1F1F0D0D"/>
    <w:rsid w:val="35686B54"/>
    <w:rsid w:val="3DBC6561"/>
    <w:rsid w:val="405C61A5"/>
    <w:rsid w:val="42210702"/>
    <w:rsid w:val="54B47C53"/>
    <w:rsid w:val="55FA0552"/>
    <w:rsid w:val="583D4D85"/>
    <w:rsid w:val="61972251"/>
    <w:rsid w:val="6AF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2022-08-24T09:44:00Z</dcterms:created>
  <dc:creator>李琴矿产资源保护监督处</dc:creator>
  <cp:lastModifiedBy>李琴矿产资源保护监督处</cp:lastModifiedBy>
  <dcterms:modified xsi:type="dcterms:W3CDTF">2022-08-24T09:46:33Z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