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贵州甲盛龙集团</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矿业投资有限公司遵义县马蹄镇马蹄</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煤矿矿业权价款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贵州甲盛龙集团矿业投资有限公司遵义县马蹄镇马蹄煤矿矿业权价款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甲盛龙集团矿业投资有限公司煤矿企业兼并重组实施方案（第一批）的批复》（黔煤兼并重组办〔2016〕2号），该矿山由遵义县马蹄镇马蹄煤矿与遵义县马蹄镇新兴煤矿兼并重组而成，兼并重组后的矿区范围含原两矿范围。</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兼并重组前原遵义县马蹄煤矿最近一次价款是2008年办理采矿权整合延续时处置的，根据黔国土资储备字〔2008〕40号，备案的煤炭总资源储量635万吨，保有资源储量555万吨，计算煤矿矿业权价款</w:t>
      </w:r>
      <w:r>
        <w:rPr>
          <w:rFonts w:hint="eastAsia" w:ascii="仿宋" w:hAnsi="仿宋" w:eastAsia="仿宋"/>
          <w:spacing w:val="-12"/>
          <w:kern w:val="10"/>
          <w:sz w:val="32"/>
          <w:szCs w:val="32"/>
        </w:rPr>
        <w:t>721.312万元[（0.8元/吨×</w:t>
      </w:r>
      <w:r>
        <w:rPr>
          <w:rFonts w:hint="eastAsia" w:ascii="仿宋" w:hAnsi="仿宋" w:eastAsia="仿宋"/>
          <w:sz w:val="32"/>
          <w:szCs w:val="32"/>
        </w:rPr>
        <w:t>208.36</w:t>
      </w:r>
      <w:r>
        <w:rPr>
          <w:rFonts w:hint="eastAsia" w:ascii="仿宋" w:hAnsi="仿宋" w:eastAsia="仿宋"/>
          <w:spacing w:val="-12"/>
          <w:kern w:val="10"/>
          <w:sz w:val="32"/>
          <w:szCs w:val="32"/>
        </w:rPr>
        <w:t>万吨=166.688万元）+（1.6元/吨×</w:t>
      </w:r>
      <w:r>
        <w:rPr>
          <w:rFonts w:hint="eastAsia" w:ascii="仿宋" w:hAnsi="仿宋" w:eastAsia="仿宋"/>
          <w:sz w:val="32"/>
          <w:szCs w:val="32"/>
        </w:rPr>
        <w:t>346.64</w:t>
      </w:r>
      <w:r>
        <w:rPr>
          <w:rFonts w:hint="eastAsia" w:ascii="仿宋" w:hAnsi="仿宋" w:eastAsia="仿宋"/>
          <w:spacing w:val="-12"/>
          <w:kern w:val="10"/>
          <w:sz w:val="32"/>
          <w:szCs w:val="32"/>
        </w:rPr>
        <w:t>万吨=554.624万元）=721.312万元]</w:t>
      </w:r>
      <w:r>
        <w:rPr>
          <w:rFonts w:hint="eastAsia" w:ascii="仿宋" w:hAnsi="仿宋" w:eastAsia="仿宋"/>
          <w:w w:val="92"/>
          <w:sz w:val="32"/>
          <w:szCs w:val="32"/>
        </w:rPr>
        <w:t>（办文编号001-08-20086853）</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兼并重组前原遵义县新兴煤矿最近一次价款是2007年办理采矿权延续时处置的，根据黔国土资储备字〔2007〕279号，备案的煤炭总资源储量450.7万吨，保有资源储量362万吨，计算煤矿矿业权价款</w:t>
      </w:r>
      <w:r>
        <w:rPr>
          <w:rFonts w:hint="eastAsia" w:ascii="仿宋" w:hAnsi="仿宋" w:eastAsia="仿宋"/>
          <w:spacing w:val="-12"/>
          <w:kern w:val="10"/>
          <w:sz w:val="32"/>
          <w:szCs w:val="32"/>
        </w:rPr>
        <w:t>289.6万元（0.8元/吨×</w:t>
      </w:r>
      <w:r>
        <w:rPr>
          <w:rFonts w:hint="eastAsia" w:ascii="仿宋" w:hAnsi="仿宋" w:eastAsia="仿宋"/>
          <w:sz w:val="32"/>
          <w:szCs w:val="32"/>
        </w:rPr>
        <w:t>362</w:t>
      </w:r>
      <w:r>
        <w:rPr>
          <w:rFonts w:hint="eastAsia" w:ascii="仿宋" w:hAnsi="仿宋" w:eastAsia="仿宋"/>
          <w:spacing w:val="-12"/>
          <w:kern w:val="10"/>
          <w:sz w:val="32"/>
          <w:szCs w:val="32"/>
        </w:rPr>
        <w:t>万吨=289.6万元）</w:t>
      </w:r>
      <w:r>
        <w:rPr>
          <w:rFonts w:hint="eastAsia" w:ascii="仿宋" w:hAnsi="仿宋" w:eastAsia="仿宋"/>
          <w:w w:val="92"/>
          <w:sz w:val="32"/>
          <w:szCs w:val="32"/>
        </w:rPr>
        <w:t>（办文编号001-08-20076634）；</w:t>
      </w:r>
      <w:r>
        <w:rPr>
          <w:rFonts w:hint="eastAsia" w:ascii="仿宋" w:hAnsi="仿宋" w:eastAsia="仿宋"/>
          <w:w w:val="92"/>
          <w:sz w:val="32"/>
          <w:szCs w:val="32"/>
          <w:lang w:val="en-US" w:eastAsia="zh-CN"/>
        </w:rPr>
        <w:t>已缴清。</w:t>
      </w:r>
    </w:p>
    <w:p>
      <w:pPr>
        <w:snapToGrid w:val="0"/>
        <w:spacing w:line="390" w:lineRule="exact"/>
        <w:ind w:firstLine="588" w:firstLineChars="200"/>
        <w:rPr>
          <w:rFonts w:ascii="仿宋" w:hAnsi="仿宋" w:eastAsia="仿宋"/>
          <w:sz w:val="32"/>
          <w:szCs w:val="32"/>
        </w:rPr>
      </w:pPr>
      <w:r>
        <w:rPr>
          <w:rFonts w:hint="eastAsia" w:ascii="仿宋" w:hAnsi="仿宋" w:eastAsia="仿宋"/>
          <w:w w:val="92"/>
          <w:sz w:val="32"/>
          <w:szCs w:val="32"/>
        </w:rPr>
        <w:t>综上，</w:t>
      </w:r>
      <w:r>
        <w:rPr>
          <w:rFonts w:hint="eastAsia" w:ascii="仿宋" w:hAnsi="仿宋" w:eastAsia="仿宋"/>
          <w:sz w:val="32"/>
          <w:szCs w:val="32"/>
        </w:rPr>
        <w:t>贵州甲盛龙集团矿业投资有限公司遵义县马蹄镇马蹄煤矿兼并重组前两矿总资源储量合计1085.7万吨（635万吨+450.7万吨=1085.7万吨）。</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遵义县马蹄煤矿申请进行矿业权价款处置。根据《关于&lt;贵州甲盛龙集团矿业投资有限公司遵义县马蹄镇马蹄煤矿（预留）资源储量核实及勘探报告&gt;矿产资源储量评审备案证明的函》及专家评审意见书（黔自然资储备字〔2019〕14号），截止2018年8月31日，遵义县马蹄煤矿矿区范围内煤炭总资源储量3549万吨，保有资源储量3292万吨，先期开采地段保有资源储量961万吨，煤类为无烟煤，估算煤层气资源量2.35亿立方米。根据《关于对&lt;贵州甲盛龙集团矿业投资有限公司遵义县马蹄镇马蹄煤矿矿产资源绿色开发利用方案（三合一）&gt;审查意见备案的函》及专家审查意见（黔自然资审批函〔2020〕1102号），该矿山服务年限24年。根据《国土资源部关于印发&lt;矿产资源储量规模划分标准&gt;的通知》（国土资发〔2000〕3号）中矿产资源储量规模划分标准，该矿山为小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遵义县马蹄煤矿最长颁证年限10年拟动用煤炭资源储量为1478.75万吨（3549万吨×10年/24年=1478.75万吨），该矿山还有2070.25万吨（3549万吨-1478.75万吨=2070.25万吨）煤炭资源价款未处置，未处置价款待矿山下次延续时再进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两矿已处置过价款备案的总资源储量后为393.05万吨（1478.75万吨-1085.7万吨=393.05万吨），该矿山本次计算矿业权价款为1179.15万元（3元/吨×393.05万吨=1179.15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4656E"/>
    <w:rsid w:val="153A404A"/>
    <w:rsid w:val="2FBD7F6F"/>
    <w:rsid w:val="307B3184"/>
    <w:rsid w:val="386D0628"/>
    <w:rsid w:val="395235D7"/>
    <w:rsid w:val="3C0861DA"/>
    <w:rsid w:val="43D4656E"/>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2021-11-16T04:53:00Z</dcterms:created>
  <dc:creator>姬胜源矿产资源保护监督处</dc:creator>
  <cp:lastModifiedBy>姬胜源矿产资源保护监督处</cp:lastModifiedBy>
  <dcterms:modified xsi:type="dcterms:W3CDTF">2021-11-16T04:54:11Z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