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贵州世纪华鼎能源投资有限公司晴隆县鸡场镇源兴煤矿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bookmarkStart w:id="0" w:name="_GoBack"/>
      <w:r>
        <w:rPr>
          <w:rFonts w:hint="eastAsia" w:hAnsi="宋体"/>
          <w:kern w:val="0"/>
          <w:sz w:val="44"/>
          <w:szCs w:val="44"/>
          <w:lang w:val="zh-CN"/>
        </w:rPr>
        <w:t>矿业权价款</w:t>
      </w:r>
      <w:r>
        <w:rPr>
          <w:rFonts w:hAnsi="宋体"/>
          <w:kern w:val="0"/>
          <w:sz w:val="44"/>
          <w:szCs w:val="44"/>
          <w:lang w:val="zh-CN"/>
        </w:rPr>
        <w:t>计算结果公示</w:t>
      </w:r>
      <w:bookmarkEnd w:id="0"/>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贵州世纪华鼎能源投资有限公司晴隆县鸡场镇源兴煤矿矿业权价款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13</w:t>
      </w:r>
      <w:r>
        <w:rPr>
          <w:rFonts w:hint="default" w:ascii="仿宋" w:hAnsi="仿宋" w:eastAsia="仿宋"/>
          <w:sz w:val="32"/>
          <w:szCs w:val="32"/>
        </w:rPr>
        <w:t>日至20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22</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世纪华鼎能源投资有限公司主体企业煤矿兼并重组实施方案（修编）的批复》（黔煤兼并重组办〔2017〕88号），该矿山由晴隆县源兴煤矿与遵义县永辉煤矿兼并重组而成。兼并重组后矿区范围含原晴隆县源兴煤矿范围，遵义县永辉煤矿属关闭置换指标，本次矿业权价款处置不予考虑，待企业主体完成全部煤矿工作后，申请资源置换时再行处置。</w:t>
      </w:r>
    </w:p>
    <w:p>
      <w:pPr>
        <w:snapToGrid w:val="0"/>
        <w:spacing w:line="560" w:lineRule="exact"/>
        <w:ind w:firstLine="640" w:firstLineChars="200"/>
        <w:rPr>
          <w:rFonts w:hint="default" w:ascii="仿宋" w:hAnsi="仿宋" w:eastAsia="仿宋"/>
          <w:spacing w:val="-18"/>
          <w:kern w:val="10"/>
          <w:sz w:val="32"/>
          <w:szCs w:val="32"/>
          <w:lang w:val="en-US" w:eastAsia="zh-CN"/>
        </w:rPr>
      </w:pPr>
      <w:r>
        <w:rPr>
          <w:rFonts w:hint="eastAsia" w:ascii="仿宋" w:hAnsi="仿宋" w:eastAsia="仿宋"/>
          <w:sz w:val="32"/>
          <w:szCs w:val="32"/>
        </w:rPr>
        <w:t>兼并重组前晴隆县源兴煤矿最近一次价款是2008年办理采矿权整合延续时处置的，根据黔国土资储备字〔2008〕452号，晴隆县源兴煤矿矿权范围内备案煤炭总资源储量1528.5万吨，保有资源储量1475.15万吨。矿山矿业权价款</w:t>
      </w:r>
      <w:r>
        <w:rPr>
          <w:rFonts w:hint="eastAsia" w:ascii="仿宋" w:hAnsi="仿宋" w:eastAsia="仿宋"/>
          <w:spacing w:val="-12"/>
          <w:kern w:val="10"/>
          <w:sz w:val="32"/>
          <w:szCs w:val="32"/>
        </w:rPr>
        <w:t>2173.992万元[（0.8元/吨×</w:t>
      </w:r>
      <w:r>
        <w:rPr>
          <w:rFonts w:hint="eastAsia" w:ascii="仿宋" w:hAnsi="仿宋" w:eastAsia="仿宋"/>
          <w:sz w:val="32"/>
          <w:szCs w:val="32"/>
        </w:rPr>
        <w:t>232.81</w:t>
      </w:r>
      <w:r>
        <w:rPr>
          <w:rFonts w:hint="eastAsia" w:ascii="仿宋" w:hAnsi="仿宋" w:eastAsia="仿宋"/>
          <w:spacing w:val="-12"/>
          <w:kern w:val="10"/>
          <w:sz w:val="32"/>
          <w:szCs w:val="32"/>
        </w:rPr>
        <w:t>万吨=186.248万元）+（1.6元/吨×1</w:t>
      </w:r>
      <w:r>
        <w:rPr>
          <w:rFonts w:hint="eastAsia" w:ascii="仿宋" w:hAnsi="仿宋" w:eastAsia="仿宋"/>
          <w:sz w:val="32"/>
          <w:szCs w:val="32"/>
        </w:rPr>
        <w:t>242.34</w:t>
      </w:r>
      <w:r>
        <w:rPr>
          <w:rFonts w:hint="eastAsia" w:ascii="仿宋" w:hAnsi="仿宋" w:eastAsia="仿宋"/>
          <w:spacing w:val="-12"/>
          <w:kern w:val="10"/>
          <w:sz w:val="32"/>
          <w:szCs w:val="32"/>
        </w:rPr>
        <w:t>万吨=1987.744万元）=2173.992万元</w:t>
      </w:r>
      <w:r>
        <w:rPr>
          <w:rFonts w:hint="eastAsia" w:ascii="仿宋" w:hAnsi="仿宋" w:eastAsia="仿宋"/>
          <w:sz w:val="32"/>
          <w:szCs w:val="32"/>
        </w:rPr>
        <w:t>]（</w:t>
      </w:r>
      <w:r>
        <w:rPr>
          <w:rFonts w:hint="eastAsia" w:ascii="仿宋" w:hAnsi="仿宋" w:eastAsia="仿宋"/>
          <w:spacing w:val="-18"/>
          <w:w w:val="95"/>
          <w:kern w:val="10"/>
          <w:sz w:val="32"/>
          <w:szCs w:val="32"/>
        </w:rPr>
        <w:t>办文编号</w:t>
      </w:r>
      <w:r>
        <w:rPr>
          <w:rFonts w:hint="eastAsia" w:ascii="仿宋" w:hAnsi="仿宋" w:eastAsia="仿宋"/>
          <w:spacing w:val="-18"/>
          <w:kern w:val="10"/>
          <w:sz w:val="32"/>
          <w:szCs w:val="32"/>
        </w:rPr>
        <w:t>0</w:t>
      </w:r>
      <w:r>
        <w:rPr>
          <w:rFonts w:ascii="仿宋" w:hAnsi="仿宋" w:eastAsia="仿宋"/>
          <w:spacing w:val="-18"/>
          <w:kern w:val="10"/>
          <w:sz w:val="32"/>
          <w:szCs w:val="32"/>
        </w:rPr>
        <w:t>01-</w:t>
      </w:r>
      <w:r>
        <w:rPr>
          <w:rFonts w:hint="eastAsia" w:ascii="仿宋" w:hAnsi="仿宋" w:eastAsia="仿宋"/>
          <w:spacing w:val="-18"/>
          <w:kern w:val="10"/>
          <w:sz w:val="32"/>
          <w:szCs w:val="32"/>
        </w:rPr>
        <w:t>08</w:t>
      </w:r>
      <w:r>
        <w:rPr>
          <w:rFonts w:ascii="仿宋" w:hAnsi="仿宋" w:eastAsia="仿宋"/>
          <w:spacing w:val="-18"/>
          <w:kern w:val="10"/>
          <w:sz w:val="32"/>
          <w:szCs w:val="32"/>
        </w:rPr>
        <w:t>-20</w:t>
      </w:r>
      <w:r>
        <w:rPr>
          <w:rFonts w:hint="eastAsia" w:ascii="仿宋" w:hAnsi="仿宋" w:eastAsia="仿宋"/>
          <w:spacing w:val="-18"/>
          <w:kern w:val="10"/>
          <w:sz w:val="32"/>
          <w:szCs w:val="32"/>
        </w:rPr>
        <w:t>084363）。</w:t>
      </w:r>
      <w:r>
        <w:rPr>
          <w:rFonts w:hint="eastAsia" w:ascii="仿宋" w:hAnsi="仿宋" w:eastAsia="仿宋"/>
          <w:spacing w:val="-18"/>
          <w:kern w:val="10"/>
          <w:sz w:val="32"/>
          <w:szCs w:val="32"/>
          <w:lang w:val="en-US" w:eastAsia="zh-CN"/>
        </w:rPr>
        <w:t>已缴清。</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晴隆县源兴煤矿申请按中型矿山最长颁证年限对该矿山进行矿业权价款处置。根据《关于&lt;贵州世纪华鼎能源投资有限公司晴隆县鸡场镇源兴煤矿（预留）资源储量核实及勘探报告&gt;矿产资源储量评审备案证明的函》及专家评审意见书（黔自然资储备字〔2020〕179号），截止2020年4月30日，晴隆县源兴煤矿矿区范围内煤炭总资源储量8582万吨，保有资源储量8373万吨；先期开采地段保有资源储量2563万吨。煤类为无烟煤，煤层气潜在资源量4.78亿立方米。根据《关于对&lt;贵州世纪华鼎能源投资有限公司晴隆县鸡场镇源兴煤矿（变更）矿产资源绿色开发利用方案（三合一）&gt;审查意见备案的函》（黔自然资审批函〔2020〕1440号）及专家审查意见，该矿山设计生产规模45万吨/年，矿山服务年限82年。</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晴隆县源兴煤矿最长颁证年限20年拟动用煤炭资源储量约为2093万吨（8582万吨×20年/82年≈2093万吨），该矿山还有6489万吨（8582万吨-2093万吨=6489万吨）煤炭资源矿业权价款未处置，未处置矿业权价款待矿山下次延续时再进行处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本次矿业权价款处置利用拟动用煤炭总资源储量扣除原已处置过价款的煤炭资源储量后为564.5万吨（2093万吨-1528.5万吨=564.5万吨），该矿山应缴纳煤矿矿业权出价款1693.5万元（3元/吨×564.5万吨=1693.5万元）。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13</w:t>
      </w:r>
      <w:r>
        <w:rPr>
          <w:rFonts w:hint="default" w:ascii="仿宋" w:hAnsi="仿宋" w:eastAsia="仿宋"/>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C0B41"/>
    <w:rsid w:val="153A404A"/>
    <w:rsid w:val="2FBD7F6F"/>
    <w:rsid w:val="378C0B41"/>
    <w:rsid w:val="3C0861DA"/>
    <w:rsid w:val="59A0065F"/>
    <w:rsid w:val="6AB2412D"/>
    <w:rsid w:val="6F754DAD"/>
    <w:rsid w:val="6FD254DF"/>
    <w:rsid w:val="75B4346F"/>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2020-11-13T02:54:00Z</dcterms:created>
  <dc:creator>姬胜源矿产资源保护监督处</dc:creator>
  <cp:lastModifiedBy>姬胜源矿产资源保护监督处</cp:lastModifiedBy>
  <dcterms:modified xsi:type="dcterms:W3CDTF">2020-11-13T02:59:25Z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