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贵州新湖能源有限公司贵州省纳雍县旧院煤矿矿业权</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价款</w:t>
      </w:r>
      <w:r>
        <w:rPr>
          <w:rFonts w:hAnsi="宋体"/>
          <w:kern w:val="0"/>
          <w:sz w:val="44"/>
          <w:szCs w:val="44"/>
          <w:lang w:val="zh-CN"/>
        </w:rPr>
        <w:t>计算结果公示</w:t>
      </w:r>
    </w:p>
    <w:p>
      <w:pPr>
        <w:pStyle w:val="4"/>
        <w:spacing w:line="360" w:lineRule="auto"/>
        <w:ind w:firstLine="800"/>
        <w:rPr>
          <w:rFonts w:hint="default" w:ascii="Times New Roman" w:hAnsi="Times New Roman" w:eastAsia="仿宋_GB2312"/>
          <w:sz w:val="32"/>
          <w:szCs w:val="32"/>
        </w:rPr>
      </w:pPr>
      <w:r>
        <w:rPr>
          <w:rFonts w:hint="default" w:ascii="Times New Roman" w:hAnsi="Times New Roman" w:eastAsia="仿宋_GB2312"/>
          <w:sz w:val="32"/>
          <w:szCs w:val="32"/>
        </w:rPr>
        <w:t>经我厅委托，贵州省国土资源勘测规划研究院已完成</w:t>
      </w:r>
      <w:r>
        <w:rPr>
          <w:rFonts w:ascii="仿宋" w:hAnsi="仿宋" w:eastAsia="仿宋"/>
          <w:sz w:val="32"/>
          <w:szCs w:val="32"/>
        </w:rPr>
        <w:t>贵州新湖能源有限公司贵州省纳雍县旧院煤矿</w:t>
      </w:r>
      <w:r>
        <w:rPr>
          <w:rFonts w:ascii="Times New Roman" w:hAnsi="Times New Roman" w:eastAsia="仿宋_GB2312"/>
          <w:sz w:val="32"/>
          <w:szCs w:val="32"/>
        </w:rPr>
        <w:t>矿业权价款</w:t>
      </w:r>
      <w:r>
        <w:rPr>
          <w:rFonts w:hint="default" w:ascii="Times New Roman" w:hAnsi="Times New Roman" w:eastAsia="仿宋_GB2312"/>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Times New Roman" w:hAnsi="Times New Roman" w:eastAsia="仿宋_GB2312"/>
          <w:sz w:val="32"/>
          <w:szCs w:val="32"/>
        </w:rPr>
      </w:pPr>
      <w:r>
        <w:rPr>
          <w:rFonts w:hint="default" w:ascii="Times New Roman" w:hAnsi="Times New Roman" w:eastAsia="仿宋_GB2312"/>
          <w:b/>
          <w:sz w:val="32"/>
          <w:szCs w:val="32"/>
        </w:rPr>
        <w:t>一、公示时间</w:t>
      </w:r>
    </w:p>
    <w:p>
      <w:pPr>
        <w:pStyle w:val="4"/>
        <w:spacing w:line="360" w:lineRule="auto"/>
        <w:ind w:firstLine="640"/>
        <w:rPr>
          <w:rFonts w:hint="default" w:ascii="Times New Roman" w:hAnsi="Times New Roman" w:eastAsia="仿宋_GB2312"/>
          <w:sz w:val="32"/>
          <w:szCs w:val="32"/>
        </w:rPr>
      </w:pPr>
      <w:r>
        <w:rPr>
          <w:rFonts w:hint="default" w:ascii="Times New Roman" w:hAnsi="Times New Roman" w:eastAsia="仿宋_GB2312"/>
          <w:sz w:val="32"/>
          <w:szCs w:val="32"/>
        </w:rPr>
        <w:t>20</w:t>
      </w:r>
      <w:r>
        <w:rPr>
          <w:rFonts w:ascii="Times New Roman" w:hAnsi="Times New Roman" w:eastAsia="仿宋_GB2312"/>
          <w:sz w:val="32"/>
          <w:szCs w:val="32"/>
        </w:rPr>
        <w:t>20</w:t>
      </w:r>
      <w:r>
        <w:rPr>
          <w:rFonts w:hint="default" w:ascii="Times New Roman" w:hAnsi="Times New Roman" w:eastAsia="仿宋_GB2312"/>
          <w:sz w:val="32"/>
          <w:szCs w:val="32"/>
        </w:rPr>
        <w:t>年</w:t>
      </w:r>
      <w:r>
        <w:rPr>
          <w:rFonts w:hint="eastAsia" w:ascii="Times New Roman" w:hAnsi="Times New Roman" w:eastAsia="仿宋_GB2312"/>
          <w:sz w:val="32"/>
          <w:szCs w:val="32"/>
          <w:lang w:val="en-US" w:eastAsia="zh-CN"/>
        </w:rPr>
        <w:t>12</w:t>
      </w:r>
      <w:r>
        <w:rPr>
          <w:rFonts w:hint="default" w:ascii="Times New Roman" w:hAnsi="Times New Roman" w:eastAsia="仿宋_GB2312"/>
          <w:sz w:val="32"/>
          <w:szCs w:val="32"/>
        </w:rPr>
        <w:t>月</w:t>
      </w:r>
      <w:r>
        <w:rPr>
          <w:rFonts w:hint="eastAsia" w:ascii="Times New Roman" w:hAnsi="Times New Roman" w:eastAsia="仿宋_GB2312"/>
          <w:sz w:val="32"/>
          <w:szCs w:val="32"/>
          <w:lang w:val="en-US" w:eastAsia="zh-CN"/>
        </w:rPr>
        <w:t>4</w:t>
      </w:r>
      <w:r>
        <w:rPr>
          <w:rFonts w:hint="default" w:ascii="Times New Roman" w:hAnsi="Times New Roman" w:eastAsia="仿宋_GB2312"/>
          <w:sz w:val="32"/>
          <w:szCs w:val="32"/>
        </w:rPr>
        <w:t>日至20</w:t>
      </w:r>
      <w:r>
        <w:rPr>
          <w:rFonts w:ascii="Times New Roman" w:hAnsi="Times New Roman" w:eastAsia="仿宋_GB2312"/>
          <w:sz w:val="32"/>
          <w:szCs w:val="32"/>
        </w:rPr>
        <w:t>20</w:t>
      </w:r>
      <w:r>
        <w:rPr>
          <w:rFonts w:hint="default" w:ascii="Times New Roman" w:hAnsi="Times New Roman" w:eastAsia="仿宋_GB2312"/>
          <w:sz w:val="32"/>
          <w:szCs w:val="32"/>
        </w:rPr>
        <w:t>年</w:t>
      </w:r>
      <w:r>
        <w:rPr>
          <w:rFonts w:hint="eastAsia" w:ascii="Times New Roman" w:hAnsi="Times New Roman" w:eastAsia="仿宋_GB2312"/>
          <w:sz w:val="32"/>
          <w:szCs w:val="32"/>
          <w:lang w:val="en-US" w:eastAsia="zh-CN"/>
        </w:rPr>
        <w:t>12</w:t>
      </w:r>
      <w:r>
        <w:rPr>
          <w:rFonts w:hint="default" w:ascii="Times New Roman" w:hAnsi="Times New Roman" w:eastAsia="仿宋_GB2312"/>
          <w:sz w:val="32"/>
          <w:szCs w:val="32"/>
        </w:rPr>
        <w:t>月</w:t>
      </w:r>
      <w:r>
        <w:rPr>
          <w:rFonts w:hint="eastAsia" w:ascii="Times New Roman" w:hAnsi="Times New Roman" w:eastAsia="仿宋_GB2312"/>
          <w:sz w:val="32"/>
          <w:szCs w:val="32"/>
          <w:lang w:val="en-US" w:eastAsia="zh-CN"/>
        </w:rPr>
        <w:t>13</w:t>
      </w:r>
      <w:r>
        <w:rPr>
          <w:rFonts w:hint="default" w:ascii="Times New Roman" w:hAnsi="Times New Roman" w:eastAsia="仿宋_GB2312"/>
          <w:sz w:val="32"/>
          <w:szCs w:val="32"/>
        </w:rPr>
        <w:t>日。</w:t>
      </w:r>
    </w:p>
    <w:p>
      <w:pPr>
        <w:pStyle w:val="4"/>
        <w:spacing w:line="360" w:lineRule="auto"/>
        <w:ind w:firstLine="640"/>
        <w:rPr>
          <w:rFonts w:hint="default" w:ascii="Times New Roman" w:hAnsi="Times New Roman" w:eastAsia="仿宋_GB2312"/>
          <w:sz w:val="32"/>
          <w:szCs w:val="32"/>
        </w:rPr>
      </w:pPr>
      <w:r>
        <w:rPr>
          <w:rFonts w:hint="default" w:ascii="Times New Roman" w:hAnsi="Times New Roman" w:eastAsia="仿宋_GB2312"/>
          <w:b/>
          <w:sz w:val="32"/>
          <w:szCs w:val="32"/>
        </w:rPr>
        <w:t>二、公示内容</w:t>
      </w:r>
    </w:p>
    <w:p>
      <w:pPr>
        <w:pStyle w:val="4"/>
        <w:spacing w:line="560" w:lineRule="exact"/>
        <w:ind w:firstLine="640"/>
        <w:rPr>
          <w:rFonts w:hint="default" w:ascii="Times New Roman" w:hAnsi="Times New Roman" w:eastAsia="仿宋_GB2312"/>
          <w:sz w:val="32"/>
          <w:szCs w:val="32"/>
        </w:rPr>
      </w:pPr>
      <w:r>
        <w:rPr>
          <w:rFonts w:hint="default" w:ascii="Times New Roman" w:hAnsi="Times New Roman" w:eastAsia="仿宋_GB2312"/>
          <w:sz w:val="32"/>
          <w:szCs w:val="32"/>
        </w:rPr>
        <w:t>《矿业权价款计算书》（附件一）、储量评审备案证明等（附件二）。</w:t>
      </w:r>
    </w:p>
    <w:p>
      <w:pPr>
        <w:tabs>
          <w:tab w:val="left" w:pos="360"/>
          <w:tab w:val="left" w:pos="720"/>
        </w:tabs>
        <w:autoSpaceDE w:val="0"/>
        <w:autoSpaceDN w:val="0"/>
        <w:adjustRightInd w:val="0"/>
        <w:spacing w:line="560" w:lineRule="exact"/>
        <w:ind w:firstLine="643" w:firstLineChars="200"/>
        <w:rPr>
          <w:rFonts w:eastAsia="仿宋_GB2312"/>
          <w:b/>
          <w:kern w:val="0"/>
          <w:sz w:val="32"/>
          <w:szCs w:val="32"/>
          <w:lang w:val="zh-CN"/>
        </w:rPr>
      </w:pPr>
      <w:r>
        <w:rPr>
          <w:rFonts w:eastAsia="仿宋_GB2312"/>
          <w:b/>
          <w:sz w:val="32"/>
          <w:szCs w:val="32"/>
        </w:rPr>
        <w:t>三、</w:t>
      </w:r>
      <w:r>
        <w:rPr>
          <w:rFonts w:eastAsia="仿宋_GB2312"/>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纳雍县旧院煤矿为探转采矿山。根据贵州省煤煤炭工业淘汰落后产能加快转型升级工作领导小组办公室会议纪要（〔2020〕第8次 总第38次），该矿山无配对关闭指标。</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纳雍县旧院煤矿申请按中型矿山最长颁证年限对该矿山进行价款处置。根据《关于&lt;贵州省纳雍县旧院煤矿资源储量核实报告&gt;矿产资源储量评审备案证明的函》及专家评审意见书（黔自然资储备字〔2020〕176号），截止2019年12月30日，纳雍县旧院煤矿矿区范围内煤炭总资源储量6298万吨，亦为保有资源储量，先期开采地段总资源储量3019万吨，煤类为无烟煤，煤层气潜在资源储量5.4亿立方米。根据《关于对&lt;贵州新湖能源有限公司贵州省纳雍县旧院煤矿（新建）矿产资源绿色开发利用方案（三合一）&gt;审查意见备案的函》（黔自然资审批函〔2020〕1636号）及专家审查意见，</w:t>
      </w:r>
      <w:bookmarkStart w:id="0" w:name="_GoBack"/>
      <w:bookmarkEnd w:id="0"/>
      <w:r>
        <w:rPr>
          <w:rFonts w:hint="eastAsia" w:ascii="仿宋" w:hAnsi="仿宋" w:eastAsia="仿宋"/>
          <w:sz w:val="32"/>
          <w:szCs w:val="32"/>
        </w:rPr>
        <w:t>该矿山设计生产规模90万吨/年，矿山服务年限35年。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纳雍县旧院煤矿最长颁证年限20年拟动用煤炭资源储量约为3599万吨（6298万吨×20年/35年≈3599万吨），该矿山还有2699万吨（6298万吨-3599万吨=2699万吨）煤炭资源矿业权价款未处置，未处置矿业权价款待矿山下次延续时再进行处置。</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本次该矿山应缴纳煤矿矿业权价款10797万元（3元/吨×3599万吨=10797万元）。</w:t>
      </w:r>
    </w:p>
    <w:p>
      <w:pPr>
        <w:tabs>
          <w:tab w:val="left" w:pos="360"/>
          <w:tab w:val="left" w:pos="720"/>
        </w:tabs>
        <w:autoSpaceDE w:val="0"/>
        <w:autoSpaceDN w:val="0"/>
        <w:adjustRightInd w:val="0"/>
        <w:spacing w:line="560" w:lineRule="exact"/>
        <w:ind w:firstLine="640" w:firstLineChars="200"/>
        <w:rPr>
          <w:rFonts w:hint="eastAsia" w:eastAsia="仿宋_GB2312"/>
          <w:kern w:val="0"/>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eastAsia="仿宋_GB2312"/>
          <w:b/>
          <w:sz w:val="32"/>
          <w:szCs w:val="32"/>
        </w:rPr>
      </w:pPr>
      <w:r>
        <w:rPr>
          <w:rFonts w:eastAsia="仿宋_GB2312"/>
          <w:b/>
          <w:sz w:val="32"/>
          <w:szCs w:val="32"/>
        </w:rPr>
        <w:t>四、其它</w:t>
      </w:r>
    </w:p>
    <w:p>
      <w:pPr>
        <w:tabs>
          <w:tab w:val="left" w:pos="360"/>
          <w:tab w:val="left" w:pos="720"/>
        </w:tabs>
        <w:autoSpaceDE w:val="0"/>
        <w:autoSpaceDN w:val="0"/>
        <w:adjustRightInd w:val="0"/>
        <w:spacing w:line="560" w:lineRule="exact"/>
        <w:ind w:firstLine="640" w:firstLineChars="200"/>
        <w:rPr>
          <w:rFonts w:eastAsia="仿宋_GB2312"/>
          <w:sz w:val="32"/>
          <w:szCs w:val="32"/>
        </w:rPr>
      </w:pPr>
      <w:r>
        <w:rPr>
          <w:rFonts w:hint="eastAsia" w:eastAsia="仿宋_GB2312"/>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eastAsia="仿宋_GB2312"/>
          <w:sz w:val="32"/>
          <w:szCs w:val="32"/>
        </w:rPr>
        <w:t>。</w:t>
      </w:r>
    </w:p>
    <w:p>
      <w:pPr>
        <w:pStyle w:val="4"/>
        <w:spacing w:line="560" w:lineRule="exact"/>
        <w:rPr>
          <w:rFonts w:hint="default" w:ascii="Times New Roman" w:hAnsi="Times New Roman" w:eastAsia="仿宋_GB2312"/>
          <w:sz w:val="32"/>
          <w:szCs w:val="32"/>
        </w:rPr>
      </w:pPr>
      <w:r>
        <w:rPr>
          <w:rFonts w:hint="default" w:ascii="Times New Roman" w:hAnsi="Times New Roman" w:eastAsia="仿宋_GB2312"/>
          <w:sz w:val="32"/>
          <w:szCs w:val="32"/>
        </w:rPr>
        <w:t xml:space="preserve">     附件：1.《矿业权</w:t>
      </w:r>
      <w:r>
        <w:rPr>
          <w:rFonts w:ascii="Times New Roman" w:hAnsi="Times New Roman" w:eastAsia="仿宋_GB2312"/>
          <w:sz w:val="32"/>
          <w:szCs w:val="32"/>
        </w:rPr>
        <w:t>价款</w:t>
      </w:r>
      <w:r>
        <w:rPr>
          <w:rFonts w:hint="default" w:ascii="Times New Roman" w:hAnsi="Times New Roman" w:eastAsia="仿宋_GB2312"/>
          <w:sz w:val="32"/>
          <w:szCs w:val="32"/>
        </w:rPr>
        <w:t>计算书》</w:t>
      </w:r>
    </w:p>
    <w:p>
      <w:pPr>
        <w:pStyle w:val="4"/>
        <w:spacing w:line="560" w:lineRule="exact"/>
        <w:rPr>
          <w:rFonts w:hint="default" w:ascii="Times New Roman" w:hAnsi="Times New Roman" w:eastAsia="仿宋_GB2312"/>
          <w:sz w:val="32"/>
          <w:szCs w:val="32"/>
        </w:rPr>
      </w:pPr>
      <w:r>
        <w:rPr>
          <w:rFonts w:hint="default" w:ascii="Times New Roman" w:hAnsi="Times New Roman" w:eastAsia="仿宋_GB2312"/>
          <w:sz w:val="32"/>
          <w:szCs w:val="32"/>
        </w:rPr>
        <w:t xml:space="preserve">           2.《储量评审备案证明》</w:t>
      </w:r>
    </w:p>
    <w:p>
      <w:pPr>
        <w:pStyle w:val="4"/>
        <w:spacing w:line="560" w:lineRule="exact"/>
        <w:rPr>
          <w:rFonts w:hint="default" w:ascii="Times New Roman" w:hAnsi="Times New Roman" w:eastAsia="仿宋_GB2312"/>
          <w:sz w:val="32"/>
          <w:szCs w:val="32"/>
        </w:rPr>
      </w:pPr>
      <w:r>
        <w:rPr>
          <w:rFonts w:hint="default" w:ascii="Times New Roman" w:hAnsi="Times New Roman" w:eastAsia="仿宋_GB2312"/>
          <w:sz w:val="32"/>
          <w:szCs w:val="32"/>
        </w:rPr>
        <w:t xml:space="preserve">           3.《评估报告公示公众意见表》</w:t>
      </w:r>
    </w:p>
    <w:p>
      <w:r>
        <w:rPr>
          <w:rFonts w:hint="default"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eastAsia="仿宋_GB2312"/>
          <w:sz w:val="32"/>
          <w:szCs w:val="32"/>
          <w:lang w:val="en-US" w:eastAsia="zh-CN"/>
        </w:rPr>
        <w:t xml:space="preserve">  </w:t>
      </w:r>
      <w:r>
        <w:rPr>
          <w:rFonts w:hint="eastAsia" w:ascii="Times New Roman" w:hAnsi="Times New Roman" w:eastAsia="仿宋_GB2312"/>
          <w:sz w:val="32"/>
          <w:szCs w:val="32"/>
          <w:lang w:val="en-US" w:eastAsia="zh-CN"/>
        </w:rPr>
        <w:t xml:space="preserve">     </w:t>
      </w:r>
      <w:r>
        <w:rPr>
          <w:rFonts w:hint="default" w:ascii="Times New Roman" w:hAnsi="Times New Roman" w:eastAsia="仿宋_GB2312"/>
          <w:sz w:val="32"/>
          <w:szCs w:val="32"/>
        </w:rPr>
        <w:t xml:space="preserve">     20</w:t>
      </w:r>
      <w:r>
        <w:rPr>
          <w:rFonts w:ascii="Times New Roman" w:hAnsi="Times New Roman" w:eastAsia="仿宋_GB2312"/>
          <w:sz w:val="32"/>
          <w:szCs w:val="32"/>
        </w:rPr>
        <w:t>20</w:t>
      </w:r>
      <w:r>
        <w:rPr>
          <w:rFonts w:hint="default" w:ascii="Times New Roman" w:hAnsi="Times New Roman" w:eastAsia="仿宋_GB2312"/>
          <w:sz w:val="32"/>
          <w:szCs w:val="32"/>
        </w:rPr>
        <w:t>年</w:t>
      </w:r>
      <w:r>
        <w:rPr>
          <w:rFonts w:hint="eastAsia" w:ascii="Times New Roman" w:hAnsi="Times New Roman" w:eastAsia="仿宋_GB2312"/>
          <w:sz w:val="32"/>
          <w:szCs w:val="32"/>
          <w:lang w:val="en-US" w:eastAsia="zh-CN"/>
        </w:rPr>
        <w:t>12</w:t>
      </w:r>
      <w:r>
        <w:rPr>
          <w:rFonts w:hint="default" w:ascii="Times New Roman" w:hAnsi="Times New Roman" w:eastAsia="仿宋_GB2312"/>
          <w:sz w:val="32"/>
          <w:szCs w:val="32"/>
        </w:rPr>
        <w:t>月</w:t>
      </w:r>
      <w:r>
        <w:rPr>
          <w:rFonts w:hint="eastAsia" w:ascii="Times New Roman" w:hAnsi="Times New Roman" w:eastAsia="仿宋_GB2312"/>
          <w:sz w:val="32"/>
          <w:szCs w:val="32"/>
          <w:lang w:val="en-US" w:eastAsia="zh-CN"/>
        </w:rPr>
        <w:t>7</w:t>
      </w:r>
      <w:r>
        <w:rPr>
          <w:rFonts w:hint="default" w:ascii="Times New Roman" w:hAnsi="Times New Roman" w:eastAsia="仿宋_GB2312"/>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A02F8"/>
    <w:rsid w:val="122A02F8"/>
    <w:rsid w:val="153A404A"/>
    <w:rsid w:val="2FBD7F6F"/>
    <w:rsid w:val="386D0628"/>
    <w:rsid w:val="3C0861DA"/>
    <w:rsid w:val="59A0065F"/>
    <w:rsid w:val="618C100A"/>
    <w:rsid w:val="6AB2412D"/>
    <w:rsid w:val="6F754DAD"/>
    <w:rsid w:val="6FD254DF"/>
    <w:rsid w:val="706165A0"/>
    <w:rsid w:val="75B4346F"/>
    <w:rsid w:val="77CA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2020-12-07T15:24:00Z</dcterms:created>
  <dc:creator>姬胜源矿产资源保护监督处</dc:creator>
  <cp:lastModifiedBy>姬胜源矿产资源保护监督处</cp:lastModifiedBy>
  <dcterms:modified xsi:type="dcterms:W3CDTF">2020-12-07T15:25:42Z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