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rPr>
          <w:rFonts w:hint="eastAsia" w:ascii="黑体" w:eastAsia="黑体" w:cs="黑体"/>
          <w:sz w:val="32"/>
          <w:szCs w:val="32"/>
          <w:lang w:bidi="ar-SA"/>
        </w:rPr>
      </w:pPr>
      <w:r>
        <w:rPr>
          <w:rFonts w:hint="eastAsia" w:ascii="黑体" w:eastAsia="黑体" w:cs="黑体"/>
          <w:sz w:val="32"/>
          <w:szCs w:val="32"/>
          <w:lang w:bidi="ar-SA"/>
        </w:rPr>
        <w:t>附件</w:t>
      </w:r>
    </w:p>
    <w:p>
      <w:pPr>
        <w:overflowPunct w:val="0"/>
        <w:topLinePunct/>
        <w:spacing w:line="600" w:lineRule="exact"/>
        <w:rPr>
          <w:rFonts w:eastAsia="黑体"/>
          <w:sz w:val="32"/>
          <w:szCs w:val="32"/>
        </w:rPr>
      </w:pPr>
    </w:p>
    <w:p>
      <w:pPr>
        <w:overflowPunct w:val="0"/>
        <w:topLinePunct/>
        <w:spacing w:line="600" w:lineRule="exact"/>
        <w:jc w:val="center"/>
        <w:rPr>
          <w:rFonts w:eastAsia="方正小标宋简体"/>
          <w:sz w:val="44"/>
          <w:szCs w:val="44"/>
        </w:rPr>
      </w:pPr>
      <w:bookmarkStart w:id="0" w:name="_GoBack"/>
      <w:r>
        <w:rPr>
          <w:rFonts w:eastAsia="方正小标宋简体"/>
          <w:sz w:val="44"/>
          <w:szCs w:val="44"/>
        </w:rPr>
        <w:t>中央生态环境保护督察第</w:t>
      </w:r>
      <w:r>
        <w:rPr>
          <w:rFonts w:hint="eastAsia" w:eastAsia="方正小标宋简体"/>
          <w:sz w:val="44"/>
          <w:szCs w:val="44"/>
          <w:lang w:val="en-US" w:eastAsia="zh-CN"/>
        </w:rPr>
        <w:t>二</w:t>
      </w:r>
      <w:r>
        <w:rPr>
          <w:rFonts w:eastAsia="方正小标宋简体"/>
          <w:sz w:val="44"/>
          <w:szCs w:val="44"/>
        </w:rPr>
        <w:t>项整改任务</w:t>
      </w:r>
    </w:p>
    <w:p>
      <w:pPr>
        <w:overflowPunct w:val="0"/>
        <w:topLinePunct/>
        <w:spacing w:line="600" w:lineRule="exact"/>
        <w:jc w:val="center"/>
        <w:rPr>
          <w:rFonts w:eastAsia="方正小标宋简体"/>
          <w:sz w:val="44"/>
          <w:szCs w:val="44"/>
        </w:rPr>
      </w:pPr>
      <w:r>
        <w:rPr>
          <w:rFonts w:eastAsia="方正小标宋简体"/>
          <w:sz w:val="44"/>
          <w:szCs w:val="44"/>
        </w:rPr>
        <w:t>完成情况表</w:t>
      </w:r>
    </w:p>
    <w:bookmarkEnd w:id="0"/>
    <w:p>
      <w:pPr>
        <w:overflowPunct w:val="0"/>
        <w:topLinePunct/>
        <w:spacing w:line="600" w:lineRule="exact"/>
        <w:jc w:val="center"/>
        <w:rPr>
          <w:rFonts w:eastAsia="仿宋_GB2312"/>
          <w:sz w:val="32"/>
          <w:szCs w:val="32"/>
        </w:rPr>
      </w:pPr>
    </w:p>
    <w:tbl>
      <w:tblPr>
        <w:tblStyle w:val="2"/>
        <w:tblpPr w:leftFromText="180" w:rightFromText="180" w:vertAnchor="text" w:horzAnchor="page" w:tblpX="1684" w:tblpY="332"/>
        <w:tblOverlap w:val="never"/>
        <w:tblW w:w="51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2165"/>
        <w:gridCol w:w="6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589" w:hRule="atLeast"/>
        </w:trPr>
        <w:tc>
          <w:tcPr>
            <w:tcW w:w="2297" w:type="dxa"/>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ascii="Times New Roman" w:hAnsi="Times New Roman" w:eastAsia="楷体_GB2312" w:cs="Times New Roman"/>
                <w:kern w:val="0"/>
                <w:sz w:val="30"/>
                <w:szCs w:val="30"/>
              </w:rPr>
            </w:pPr>
            <w:r>
              <w:rPr>
                <w:rFonts w:ascii="Times New Roman" w:hAnsi="Times New Roman" w:eastAsia="楷体_GB2312" w:cs="Times New Roman"/>
                <w:kern w:val="0"/>
                <w:sz w:val="30"/>
                <w:szCs w:val="30"/>
              </w:rPr>
              <w:t>整改任务</w:t>
            </w:r>
          </w:p>
        </w:tc>
        <w:tc>
          <w:tcPr>
            <w:tcW w:w="6329" w:type="dxa"/>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560" w:firstLineChars="200"/>
              <w:jc w:val="both"/>
              <w:textAlignment w:val="auto"/>
              <w:rPr>
                <w:rFonts w:ascii="Times New Roman" w:hAnsi="Times New Roman" w:eastAsia="楷体_GB2312" w:cs="Times New Roman"/>
                <w:kern w:val="0"/>
                <w:sz w:val="30"/>
                <w:szCs w:val="30"/>
              </w:rPr>
            </w:pPr>
            <w:r>
              <w:rPr>
                <w:rFonts w:ascii="Times New Roman" w:hAnsi="Times New Roman" w:eastAsia="仿宋_GB2312" w:cs="Times New Roman"/>
                <w:color w:val="000000"/>
                <w:sz w:val="28"/>
                <w:szCs w:val="28"/>
              </w:rPr>
              <w:t>《贵州省</w:t>
            </w:r>
            <w:r>
              <w:rPr>
                <w:rFonts w:hint="eastAsia" w:ascii="Times New Roman" w:hAnsi="Times New Roman" w:eastAsia="仿宋_GB2312" w:cs="Times New Roman"/>
                <w:color w:val="000000"/>
                <w:sz w:val="28"/>
                <w:szCs w:val="28"/>
                <w:lang w:val="en-US" w:eastAsia="zh-CN"/>
              </w:rPr>
              <w:t>贯彻落实第三轮</w:t>
            </w:r>
            <w:r>
              <w:rPr>
                <w:rFonts w:ascii="Times New Roman" w:hAnsi="Times New Roman" w:eastAsia="仿宋_GB2312" w:cs="Times New Roman"/>
                <w:color w:val="000000"/>
                <w:sz w:val="28"/>
                <w:szCs w:val="28"/>
              </w:rPr>
              <w:t>中央生态环境保护督察</w:t>
            </w:r>
            <w:r>
              <w:rPr>
                <w:rFonts w:hint="eastAsia" w:ascii="Times New Roman" w:hAnsi="Times New Roman" w:eastAsia="仿宋_GB2312" w:cs="Times New Roman"/>
                <w:color w:val="000000"/>
                <w:sz w:val="28"/>
                <w:szCs w:val="28"/>
                <w:lang w:val="en-US" w:eastAsia="zh-CN"/>
              </w:rPr>
              <w:t>报告</w:t>
            </w:r>
            <w:r>
              <w:rPr>
                <w:rFonts w:ascii="Times New Roman" w:hAnsi="Times New Roman" w:eastAsia="仿宋_GB2312" w:cs="Times New Roman"/>
                <w:color w:val="000000"/>
                <w:sz w:val="28"/>
                <w:szCs w:val="28"/>
              </w:rPr>
              <w:t>整改任务清单》第</w:t>
            </w:r>
            <w:r>
              <w:rPr>
                <w:rFonts w:hint="eastAsia" w:ascii="Times New Roman" w:hAnsi="Times New Roman" w:eastAsia="仿宋_GB2312" w:cs="Times New Roman"/>
                <w:color w:val="000000"/>
                <w:sz w:val="28"/>
                <w:szCs w:val="28"/>
                <w:lang w:val="en-US" w:eastAsia="zh-CN"/>
              </w:rPr>
              <w:t>二</w:t>
            </w:r>
            <w:r>
              <w:rPr>
                <w:rFonts w:ascii="Times New Roman" w:hAnsi="Times New Roman" w:eastAsia="仿宋_GB2312" w:cs="Times New Roman"/>
                <w:color w:val="000000"/>
                <w:sz w:val="28"/>
                <w:szCs w:val="28"/>
              </w:rPr>
              <w:t>项整改任务：</w:t>
            </w:r>
            <w:r>
              <w:rPr>
                <w:rFonts w:hint="default" w:ascii="Times New Roman" w:hAnsi="Times New Roman" w:eastAsia="仿宋_GB2312" w:cs="Times New Roman"/>
                <w:color w:val="000000"/>
                <w:sz w:val="28"/>
                <w:szCs w:val="28"/>
              </w:rPr>
              <w:t>侵占耕地挖湖造景。2020年以来，国家有关部门先后5次通报贵州违法占用耕地挖湖造景问题。其中，黔西南州兴义市“布依天下”景区违法占地290亩（耕地250.3亩）用于挖湖造景，2021年5月被通报。兴义市2022年3月上报整改完成并销号。但督察发现，当地整改态度不坚决，不仅未拆除用于蓄水的违建拦水桥，还利用开展国土“三调”时机，将被占用耕地调整为水面。2023年11月，黔西南州无视企业违法行为，专门印发文件、成立专班推进项目建设，挖湖造景问题原地“死灰复燃”，部分已整改的区域再次蓄水123.7亩，还新占用49.8亩耕地建设景观湖和人工草坪。期间，当地主管部门监督管理流于形式，对顶风违法行为制止不力，失职失责；省级职能部门推动整治指导检查督促不力。督察还发现，兴义市违规批准“布依天下”景区规划，分别与耕地红线、生态红线重叠2236亩、3544亩；该景区其他区域内，另有77.8亩永久基本农田变为景观池塘，50亩水田林地被违法侵占建设观光设施，其中公益林17.8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88" w:hRule="atLeast"/>
        </w:trPr>
        <w:tc>
          <w:tcPr>
            <w:tcW w:w="2297" w:type="dxa"/>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ascii="Times New Roman" w:hAnsi="Times New Roman" w:eastAsia="楷体_GB2312" w:cs="Times New Roman"/>
                <w:kern w:val="0"/>
                <w:sz w:val="30"/>
                <w:szCs w:val="30"/>
              </w:rPr>
            </w:pPr>
            <w:r>
              <w:rPr>
                <w:rFonts w:ascii="Times New Roman" w:hAnsi="Times New Roman" w:eastAsia="楷体_GB2312" w:cs="Times New Roman"/>
                <w:kern w:val="0"/>
                <w:sz w:val="30"/>
                <w:szCs w:val="30"/>
              </w:rPr>
              <w:t>整改责任单位</w:t>
            </w:r>
          </w:p>
        </w:tc>
        <w:tc>
          <w:tcPr>
            <w:tcW w:w="6329" w:type="dxa"/>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ascii="Times New Roman" w:hAnsi="Times New Roman" w:eastAsia="楷体_GB2312" w:cs="Times New Roman"/>
                <w:kern w:val="0"/>
                <w:sz w:val="30"/>
                <w:szCs w:val="30"/>
              </w:rPr>
            </w:pPr>
            <w:r>
              <w:rPr>
                <w:rFonts w:hint="eastAsia" w:ascii="Times New Roman" w:hAnsi="Times New Roman" w:eastAsia="仿宋_GB2312" w:cs="Times New Roman"/>
                <w:color w:val="000000"/>
                <w:sz w:val="28"/>
                <w:szCs w:val="28"/>
              </w:rPr>
              <w:t>黔西南州党委和政府，省自然资源厅、省林业局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39" w:hRule="atLeast"/>
        </w:trPr>
        <w:tc>
          <w:tcPr>
            <w:tcW w:w="2297" w:type="dxa"/>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ascii="Times New Roman" w:hAnsi="Times New Roman" w:eastAsia="楷体_GB2312" w:cs="Times New Roman"/>
                <w:kern w:val="0"/>
                <w:sz w:val="30"/>
                <w:szCs w:val="30"/>
              </w:rPr>
            </w:pPr>
            <w:r>
              <w:rPr>
                <w:rFonts w:ascii="Times New Roman" w:hAnsi="Times New Roman" w:eastAsia="楷体_GB2312" w:cs="Times New Roman"/>
                <w:kern w:val="0"/>
                <w:sz w:val="30"/>
                <w:szCs w:val="30"/>
              </w:rPr>
              <w:t>整改目标</w:t>
            </w:r>
          </w:p>
        </w:tc>
        <w:tc>
          <w:tcPr>
            <w:tcW w:w="6329" w:type="dxa"/>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560" w:firstLineChars="200"/>
              <w:jc w:val="both"/>
              <w:textAlignment w:val="auto"/>
              <w:rPr>
                <w:rFonts w:ascii="Times New Roman" w:hAnsi="Times New Roman" w:eastAsia="楷体_GB2312" w:cs="Times New Roman"/>
                <w:kern w:val="0"/>
                <w:sz w:val="30"/>
                <w:szCs w:val="30"/>
              </w:rPr>
            </w:pPr>
            <w:r>
              <w:rPr>
                <w:rFonts w:hint="eastAsia" w:ascii="Times New Roman" w:hAnsi="Times New Roman" w:eastAsia="仿宋_GB2312" w:cs="Times New Roman"/>
                <w:color w:val="000000"/>
                <w:sz w:val="28"/>
                <w:szCs w:val="28"/>
              </w:rPr>
              <w:t>依法依规查处“布依天下”项目违法占地行为，消除违法用地状态；全面加强景区监管，严格落实“三区三线”管控要求，遏制新增违法用地行为发生。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72" w:hRule="atLeast"/>
        </w:trPr>
        <w:tc>
          <w:tcPr>
            <w:tcW w:w="2297" w:type="dxa"/>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ascii="Times New Roman" w:hAnsi="Times New Roman" w:eastAsia="楷体_GB2312" w:cs="Times New Roman"/>
                <w:kern w:val="0"/>
                <w:sz w:val="30"/>
                <w:szCs w:val="30"/>
              </w:rPr>
            </w:pPr>
            <w:r>
              <w:rPr>
                <w:rFonts w:ascii="Times New Roman" w:hAnsi="Times New Roman" w:eastAsia="楷体_GB2312" w:cs="Times New Roman"/>
                <w:kern w:val="0"/>
                <w:sz w:val="30"/>
                <w:szCs w:val="30"/>
              </w:rPr>
              <w:t>整改措施</w:t>
            </w:r>
          </w:p>
        </w:tc>
        <w:tc>
          <w:tcPr>
            <w:tcW w:w="6329" w:type="dxa"/>
            <w:noWrap w:val="0"/>
            <w:vAlign w:val="center"/>
          </w:tcPr>
          <w:p>
            <w:pPr>
              <w:keepNext w:val="0"/>
              <w:keepLines/>
              <w:pageBreakBefore w:val="0"/>
              <w:widowControl w:val="0"/>
              <w:kinsoku/>
              <w:wordWrap/>
              <w:overflowPunct w:val="0"/>
              <w:topLinePunct w:val="0"/>
              <w:autoSpaceDE/>
              <w:autoSpaceDN/>
              <w:bidi w:val="0"/>
              <w:adjustRightInd/>
              <w:snapToGrid w:val="0"/>
              <w:spacing w:line="460" w:lineRule="exact"/>
              <w:ind w:left="0" w:leftChars="0" w:right="0" w:rightChars="0" w:firstLine="560" w:firstLineChars="200"/>
              <w:jc w:val="both"/>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针对“布依天下”项目部分已整改的区域再次蓄水的123.7亩（实际涉及耕地95.34亩）、新占用耕地的49.81亩（蓄水形成水体25.95亩、铺设草坪23.86亩）恢复为耕地；被违法侵占建设观光设施的50亩水田林地，其中耕地21.26亩按规定恢复为耕地、0.74亩依法查处，其余28亩林地按林业管理规定处置</w:t>
            </w:r>
            <w:r>
              <w:rPr>
                <w:rFonts w:hint="eastAsia" w:ascii="Times New Roman" w:hAnsi="Times New Roman" w:eastAsia="仿宋_GB2312" w:cs="Times New Roman"/>
                <w:color w:val="000000"/>
                <w:sz w:val="28"/>
                <w:szCs w:val="28"/>
              </w:rPr>
              <w:t>。针对</w:t>
            </w:r>
            <w:r>
              <w:rPr>
                <w:rFonts w:hint="eastAsia" w:ascii="Times New Roman" w:hAnsi="Times New Roman" w:eastAsia="仿宋_GB2312" w:cs="Times New Roman"/>
                <w:color w:val="000000"/>
                <w:sz w:val="28"/>
                <w:szCs w:val="28"/>
                <w:lang w:val="en-US" w:eastAsia="zh-CN"/>
              </w:rPr>
              <w:t>该景区</w:t>
            </w:r>
            <w:r>
              <w:rPr>
                <w:rFonts w:hint="eastAsia" w:ascii="Times New Roman" w:hAnsi="Times New Roman" w:eastAsia="仿宋_GB2312" w:cs="Times New Roman"/>
                <w:color w:val="000000"/>
                <w:sz w:val="28"/>
                <w:szCs w:val="28"/>
              </w:rPr>
              <w:t>其他区域内77.8亩永久基本农田变为景观池塘问题，恢复耕种条件，按照“宜粮则粮，宜特则特”原则实施种植</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拆除违建拦水桥。</w:t>
            </w:r>
          </w:p>
          <w:p>
            <w:pPr>
              <w:keepNext w:val="0"/>
              <w:keepLines/>
              <w:pageBreakBefore w:val="0"/>
              <w:widowControl w:val="0"/>
              <w:kinsoku/>
              <w:wordWrap/>
              <w:overflowPunct w:val="0"/>
              <w:topLinePunct w:val="0"/>
              <w:autoSpaceDE/>
              <w:autoSpaceDN/>
              <w:bidi w:val="0"/>
              <w:adjustRightInd/>
              <w:snapToGrid w:val="0"/>
              <w:spacing w:line="460" w:lineRule="exact"/>
              <w:ind w:left="0" w:leftChars="0" w:right="0" w:rightChars="0" w:firstLine="560" w:firstLineChars="200"/>
              <w:jc w:val="both"/>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2.依法依规对“布依天下”项目违法占用林地行为进行查处，涉嫌构成犯罪的移交公安机关依法追究刑事责任；对生态环境损害情况进行调查，依法依规开展生态损害赔偿工作，恢复植被和林业生产条件。</w:t>
            </w:r>
          </w:p>
          <w:p>
            <w:pPr>
              <w:keepNext w:val="0"/>
              <w:keepLines/>
              <w:pageBreakBefore w:val="0"/>
              <w:widowControl w:val="0"/>
              <w:kinsoku/>
              <w:wordWrap/>
              <w:overflowPunct w:val="0"/>
              <w:topLinePunct w:val="0"/>
              <w:autoSpaceDE/>
              <w:autoSpaceDN/>
              <w:bidi w:val="0"/>
              <w:adjustRightInd/>
              <w:snapToGrid w:val="0"/>
              <w:spacing w:line="460" w:lineRule="exact"/>
              <w:ind w:left="0" w:leftChars="0" w:right="0" w:rightChars="0" w:firstLine="560" w:firstLineChars="200"/>
              <w:jc w:val="both"/>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val="en-US" w:eastAsia="zh-CN"/>
              </w:rPr>
              <w:t>在全省范围内开展“侵占耕地挖湖造景”等自然资源例行督察反馈问题举一反三排查工作，2025年6月底前取得阶段性成效并长期坚持。制定完善加强耕地保护以及自然资源例行督察反馈问题整改销号制度机制</w:t>
            </w:r>
            <w:r>
              <w:rPr>
                <w:rFonts w:hint="eastAsia" w:ascii="Times New Roman" w:hAnsi="Times New Roman" w:eastAsia="仿宋_GB2312" w:cs="Times New Roman"/>
                <w:color w:val="000000"/>
                <w:sz w:val="28"/>
                <w:szCs w:val="28"/>
                <w:lang w:val="en-US" w:eastAsia="zh-CN"/>
              </w:rPr>
              <w:t>。</w:t>
            </w:r>
          </w:p>
          <w:p>
            <w:pPr>
              <w:keepNext w:val="0"/>
              <w:keepLines/>
              <w:pageBreakBefore w:val="0"/>
              <w:widowControl w:val="0"/>
              <w:kinsoku/>
              <w:wordWrap/>
              <w:overflowPunct w:val="0"/>
              <w:topLinePunct w:val="0"/>
              <w:autoSpaceDE/>
              <w:autoSpaceDN/>
              <w:bidi w:val="0"/>
              <w:adjustRightInd/>
              <w:snapToGrid w:val="0"/>
              <w:spacing w:line="460" w:lineRule="exact"/>
              <w:ind w:left="0" w:leftChars="0" w:right="0" w:rightChars="0"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4.严格按照国土空间规划和用途管制要求，对“布依天下”项目后续用地进行全面管控，省直有关职能部门加强监督检查，杜绝违法违规行为发生</w:t>
            </w:r>
            <w:r>
              <w:rPr>
                <w:rFonts w:hint="eastAsia" w:ascii="Times New Roman" w:hAnsi="Times New Roman" w:eastAsia="仿宋_GB2312" w:cs="Times New Roman"/>
                <w:color w:val="00000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291" w:hRule="atLeast"/>
        </w:trPr>
        <w:tc>
          <w:tcPr>
            <w:tcW w:w="2297"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hint="eastAsia" w:ascii="Times New Roman" w:hAnsi="Times New Roman" w:eastAsia="楷体_GB2312" w:cs="Times New Roman"/>
                <w:kern w:val="0"/>
                <w:sz w:val="30"/>
                <w:szCs w:val="30"/>
              </w:rPr>
            </w:pPr>
            <w:r>
              <w:rPr>
                <w:rFonts w:hint="eastAsia" w:ascii="Times New Roman" w:hAnsi="Times New Roman" w:eastAsia="楷体_GB2312" w:cs="Times New Roman"/>
                <w:kern w:val="0"/>
                <w:sz w:val="30"/>
                <w:szCs w:val="30"/>
              </w:rPr>
              <w:t>整改主要工作</w:t>
            </w:r>
          </w:p>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ascii="Times New Roman" w:hAnsi="Times New Roman" w:eastAsia="楷体_GB2312" w:cs="Times New Roman"/>
                <w:kern w:val="0"/>
                <w:sz w:val="30"/>
                <w:szCs w:val="30"/>
              </w:rPr>
            </w:pPr>
            <w:r>
              <w:rPr>
                <w:rFonts w:hint="eastAsia" w:ascii="Times New Roman" w:hAnsi="Times New Roman" w:eastAsia="楷体_GB2312" w:cs="Times New Roman"/>
                <w:kern w:val="0"/>
                <w:sz w:val="30"/>
                <w:szCs w:val="30"/>
              </w:rPr>
              <w:t>及成效</w:t>
            </w:r>
          </w:p>
        </w:tc>
        <w:tc>
          <w:tcPr>
            <w:tcW w:w="6329" w:type="dxa"/>
            <w:noWrap w:val="0"/>
            <w:vAlign w:val="center"/>
          </w:tcPr>
          <w:p>
            <w:pPr>
              <w:keepNext w:val="0"/>
              <w:keepLines/>
              <w:pageBreakBefore w:val="0"/>
              <w:widowControl w:val="0"/>
              <w:kinsoku/>
              <w:wordWrap/>
              <w:overflowPunct w:val="0"/>
              <w:topLinePunct w:val="0"/>
              <w:autoSpaceDE/>
              <w:autoSpaceDN/>
              <w:bidi w:val="0"/>
              <w:adjustRightInd/>
              <w:snapToGrid w:val="0"/>
              <w:spacing w:line="460" w:lineRule="exact"/>
              <w:ind w:left="0" w:leftChars="0" w:right="0" w:rightChars="0" w:firstLine="560" w:firstLineChars="200"/>
              <w:jc w:val="both"/>
              <w:textAlignment w:val="auto"/>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b w:val="0"/>
                <w:bCs w:val="0"/>
                <w:kern w:val="0"/>
                <w:sz w:val="28"/>
                <w:szCs w:val="28"/>
                <w:lang w:val="en-US" w:eastAsia="zh-CN"/>
              </w:rPr>
              <w:t>1.</w:t>
            </w:r>
            <w:r>
              <w:rPr>
                <w:rFonts w:hint="default" w:ascii="Times New Roman" w:hAnsi="Times New Roman" w:eastAsia="仿宋_GB2312" w:cs="Times New Roman"/>
                <w:b w:val="0"/>
                <w:bCs w:val="0"/>
                <w:kern w:val="0"/>
                <w:sz w:val="28"/>
                <w:szCs w:val="28"/>
                <w:lang w:val="en-US" w:eastAsia="zh-CN"/>
              </w:rPr>
              <w:t>兴义市已对再次蓄水的123.7亩（实际涉及耕地95.34亩）、新占用耕地</w:t>
            </w:r>
            <w:r>
              <w:rPr>
                <w:rFonts w:hint="eastAsia" w:ascii="Times New Roman" w:hAnsi="Times New Roman" w:eastAsia="仿宋_GB2312" w:cs="Times New Roman"/>
                <w:b w:val="0"/>
                <w:bCs w:val="0"/>
                <w:kern w:val="0"/>
                <w:sz w:val="28"/>
                <w:szCs w:val="28"/>
                <w:lang w:val="en-US" w:eastAsia="zh-CN"/>
              </w:rPr>
              <w:t>的</w:t>
            </w:r>
            <w:r>
              <w:rPr>
                <w:rFonts w:hint="default" w:ascii="Times New Roman" w:hAnsi="Times New Roman" w:eastAsia="仿宋_GB2312" w:cs="Times New Roman"/>
                <w:b w:val="0"/>
                <w:bCs w:val="0"/>
                <w:kern w:val="0"/>
                <w:sz w:val="28"/>
                <w:szCs w:val="28"/>
                <w:lang w:val="en-US" w:eastAsia="zh-CN"/>
              </w:rPr>
              <w:t>49.81亩（蓄水形成水体25.95亩、铺设草坪23.86亩），采取复垦</w:t>
            </w:r>
            <w:r>
              <w:rPr>
                <w:rFonts w:hint="eastAsia" w:ascii="Times New Roman" w:hAnsi="Times New Roman" w:eastAsia="仿宋_GB2312" w:cs="Times New Roman"/>
                <w:b w:val="0"/>
                <w:bCs w:val="0"/>
                <w:kern w:val="0"/>
                <w:sz w:val="28"/>
                <w:szCs w:val="28"/>
                <w:lang w:val="en-US" w:eastAsia="zh-CN"/>
              </w:rPr>
              <w:t>耕地</w:t>
            </w:r>
            <w:r>
              <w:rPr>
                <w:rFonts w:hint="default" w:ascii="Times New Roman" w:hAnsi="Times New Roman" w:eastAsia="仿宋_GB2312" w:cs="Times New Roman"/>
                <w:b w:val="0"/>
                <w:bCs w:val="0"/>
                <w:kern w:val="0"/>
                <w:sz w:val="28"/>
                <w:szCs w:val="28"/>
                <w:lang w:val="en-US" w:eastAsia="zh-CN"/>
              </w:rPr>
              <w:t>方式整改，并种植相关农作物，复垦</w:t>
            </w:r>
            <w:r>
              <w:rPr>
                <w:rFonts w:hint="eastAsia" w:ascii="Times New Roman" w:hAnsi="Times New Roman" w:eastAsia="仿宋_GB2312" w:cs="Times New Roman"/>
                <w:b w:val="0"/>
                <w:bCs w:val="0"/>
                <w:kern w:val="0"/>
                <w:sz w:val="28"/>
                <w:szCs w:val="28"/>
                <w:lang w:val="en-US" w:eastAsia="zh-CN"/>
              </w:rPr>
              <w:t>耕地</w:t>
            </w:r>
            <w:r>
              <w:rPr>
                <w:rFonts w:hint="default" w:ascii="Times New Roman" w:hAnsi="Times New Roman" w:eastAsia="仿宋_GB2312" w:cs="Times New Roman"/>
                <w:b w:val="0"/>
                <w:bCs w:val="0"/>
                <w:kern w:val="0"/>
                <w:sz w:val="28"/>
                <w:szCs w:val="28"/>
                <w:lang w:val="en-US" w:eastAsia="zh-CN"/>
              </w:rPr>
              <w:t>整改结果已通过验收。</w:t>
            </w:r>
            <w:r>
              <w:rPr>
                <w:rFonts w:hint="default" w:ascii="Times New Roman" w:hAnsi="Times New Roman" w:eastAsia="仿宋_GB2312" w:cs="Times New Roman"/>
                <w:b w:val="0"/>
                <w:bCs w:val="0"/>
                <w:color w:val="auto"/>
                <w:kern w:val="0"/>
                <w:sz w:val="28"/>
                <w:szCs w:val="28"/>
                <w:lang w:val="en-US" w:eastAsia="zh-CN"/>
              </w:rPr>
              <w:t>兴义市已对被违法侵占建设观光设施的50亩水田林地进行整改。其中对21.26亩耕地已复耕，对0.74亩耕地已依法完成查处并完善用地手续，其余28亩林地已按林业管理规定恢复植被和林业生产条件。兴义市已对77.8亩永久基本农田变为景观池塘地块复垦种植，复垦</w:t>
            </w:r>
            <w:r>
              <w:rPr>
                <w:rFonts w:hint="eastAsia" w:ascii="Times New Roman" w:hAnsi="Times New Roman" w:eastAsia="仿宋_GB2312" w:cs="Times New Roman"/>
                <w:b w:val="0"/>
                <w:bCs w:val="0"/>
                <w:color w:val="auto"/>
                <w:kern w:val="0"/>
                <w:sz w:val="28"/>
                <w:szCs w:val="28"/>
                <w:lang w:val="en-US" w:eastAsia="zh-CN"/>
              </w:rPr>
              <w:t>耕地</w:t>
            </w:r>
            <w:r>
              <w:rPr>
                <w:rFonts w:hint="default" w:ascii="Times New Roman" w:hAnsi="Times New Roman" w:eastAsia="仿宋_GB2312" w:cs="Times New Roman"/>
                <w:b w:val="0"/>
                <w:bCs w:val="0"/>
                <w:color w:val="auto"/>
                <w:kern w:val="0"/>
                <w:sz w:val="28"/>
                <w:szCs w:val="28"/>
                <w:lang w:val="en-US" w:eastAsia="zh-CN"/>
              </w:rPr>
              <w:t>整改结果已通过验收。</w:t>
            </w:r>
            <w:r>
              <w:rPr>
                <w:rFonts w:hint="eastAsia" w:ascii="Times New Roman" w:hAnsi="Times New Roman" w:eastAsia="仿宋_GB2312" w:cs="Times New Roman"/>
                <w:b w:val="0"/>
                <w:bCs w:val="0"/>
                <w:kern w:val="0"/>
                <w:sz w:val="28"/>
                <w:szCs w:val="28"/>
                <w:lang w:val="en-US" w:eastAsia="zh-CN"/>
              </w:rPr>
              <w:t>兴义市已拆除违建拦水桥。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933" w:hRule="atLeast"/>
        </w:trPr>
        <w:tc>
          <w:tcPr>
            <w:tcW w:w="2297"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hint="eastAsia" w:ascii="Times New Roman" w:hAnsi="Times New Roman" w:eastAsia="楷体_GB2312" w:cs="Times New Roman"/>
                <w:kern w:val="0"/>
                <w:sz w:val="30"/>
                <w:szCs w:val="30"/>
              </w:rPr>
            </w:pPr>
          </w:p>
        </w:tc>
        <w:tc>
          <w:tcPr>
            <w:tcW w:w="6329" w:type="dxa"/>
            <w:noWrap w:val="0"/>
            <w:vAlign w:val="center"/>
          </w:tcPr>
          <w:p>
            <w:pPr>
              <w:keepNext w:val="0"/>
              <w:keepLines/>
              <w:pageBreakBefore w:val="0"/>
              <w:widowControl w:val="0"/>
              <w:kinsoku/>
              <w:wordWrap/>
              <w:overflowPunct w:val="0"/>
              <w:topLinePunct w:val="0"/>
              <w:autoSpaceDE/>
              <w:autoSpaceDN/>
              <w:bidi w:val="0"/>
              <w:adjustRightInd/>
              <w:snapToGrid w:val="0"/>
              <w:spacing w:beforeAutospacing="0" w:afterAutospacing="0" w:line="460" w:lineRule="exact"/>
              <w:ind w:left="0" w:leftChars="0" w:right="0" w:rightChars="0" w:firstLine="560" w:firstLineChars="200"/>
              <w:jc w:val="both"/>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该项目违法占用林地45.77亩（含问题反馈28亩），兴义市林业局、黔西南州自然资源局分别完成查处（其中41.99亩由兴义市林业局查处，3.78亩由黔西南州自然资源局查处），已将违法占用林地涉嫌犯罪的移送公安机关，公安机关已侦查终结移送检察机关审查起诉，检察机关已作出不予起诉决定。违法主体完成原地恢复植被和林业生产条件11.12亩，异地恢复植被和林业生产条件并补办使用林地手续34.65亩，恢复已通过验收。黔西南州林业局完成违法占用林地生态环境损害调查评估，与违法主体签订生态损害赔偿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724" w:hRule="atLeast"/>
        </w:trPr>
        <w:tc>
          <w:tcPr>
            <w:tcW w:w="2297"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hint="eastAsia" w:ascii="Times New Roman" w:hAnsi="Times New Roman" w:eastAsia="楷体_GB2312" w:cs="Times New Roman"/>
                <w:kern w:val="0"/>
                <w:sz w:val="30"/>
                <w:szCs w:val="30"/>
              </w:rPr>
            </w:pPr>
          </w:p>
        </w:tc>
        <w:tc>
          <w:tcPr>
            <w:tcW w:w="6329" w:type="dxa"/>
            <w:noWrap w:val="0"/>
            <w:vAlign w:val="center"/>
          </w:tcPr>
          <w:p>
            <w:pPr>
              <w:keepNext w:val="0"/>
              <w:keepLines/>
              <w:pageBreakBefore w:val="0"/>
              <w:widowControl w:val="0"/>
              <w:kinsoku/>
              <w:wordWrap/>
              <w:overflowPunct w:val="0"/>
              <w:topLinePunct w:val="0"/>
              <w:autoSpaceDE/>
              <w:autoSpaceDN/>
              <w:bidi w:val="0"/>
              <w:adjustRightInd/>
              <w:snapToGrid w:val="0"/>
              <w:spacing w:beforeAutospacing="0" w:afterAutospacing="0" w:line="460" w:lineRule="exact"/>
              <w:ind w:left="0" w:leftChars="0" w:right="0" w:rightChars="0" w:firstLine="560" w:firstLineChars="200"/>
              <w:jc w:val="both"/>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3.贵州省政府办公厅已印发《关于开展国家自然资源例行督察反馈重点督办典型问题整改“回头看”工作的通知》（黔府办发电〔2024〕37号），在全省部署开展“回头看”工作。“回头看”工作期间，对技术比对的392个疑似问题图斑进行了全覆盖实地暗访核查，督导各类问题有序有力推进整改，并推动侵占耕地挖湖造景、“大棚房”问题监管常态化、长效化。贵州省委办公厅、省政府办公厅联合印发《关于高质量推进耕地保护提升耕地质量完善占补平衡的实施意见》（黔党办发〔2025〕9号），进一步建立健全共同责任机制，高质量推进耕地保护工作。贵州省委办公厅、省政府办公厅已联合印发重大问题整改跟踪管理机制，确保整改结果经得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272" w:hRule="atLeast"/>
        </w:trPr>
        <w:tc>
          <w:tcPr>
            <w:tcW w:w="2297"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val="0"/>
              <w:spacing w:line="460" w:lineRule="exact"/>
              <w:ind w:left="0" w:leftChars="0" w:right="0" w:rightChars="0" w:firstLine="0" w:firstLineChars="0"/>
              <w:jc w:val="center"/>
              <w:textAlignment w:val="auto"/>
              <w:rPr>
                <w:rFonts w:hint="eastAsia" w:ascii="Times New Roman" w:hAnsi="Times New Roman" w:eastAsia="楷体_GB2312" w:cs="Times New Roman"/>
                <w:kern w:val="0"/>
                <w:sz w:val="30"/>
                <w:szCs w:val="30"/>
              </w:rPr>
            </w:pPr>
          </w:p>
        </w:tc>
        <w:tc>
          <w:tcPr>
            <w:tcW w:w="6803" w:type="dxa"/>
            <w:noWrap w:val="0"/>
            <w:vAlign w:val="center"/>
          </w:tcPr>
          <w:p>
            <w:pPr>
              <w:keepNext w:val="0"/>
              <w:keepLines/>
              <w:pageBreakBefore w:val="0"/>
              <w:widowControl w:val="0"/>
              <w:kinsoku/>
              <w:wordWrap/>
              <w:overflowPunct w:val="0"/>
              <w:topLinePunct w:val="0"/>
              <w:autoSpaceDE/>
              <w:autoSpaceDN/>
              <w:bidi w:val="0"/>
              <w:adjustRightInd/>
              <w:snapToGrid w:val="0"/>
              <w:spacing w:beforeAutospacing="0" w:afterAutospacing="0" w:line="460" w:lineRule="exact"/>
              <w:ind w:left="0" w:leftChars="0" w:right="0" w:rightChars="0" w:firstLine="560" w:firstLineChars="200"/>
              <w:jc w:val="both"/>
              <w:textAlignment w:val="auto"/>
              <w:outlineLvl w:val="9"/>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4.黔西南州自然资源局已对该项目企业违法用地行为进行查处，已完成行政处罚，已将违法占用农用地涉嫌犯罪的移送公安机关，公安机关已侦查终结移送检察机关审查起诉，检察机关已作出不予起诉决定；已依法撤销兴义市旅游规划管理委员会议事机构；已编制《兴义市城镇开发边界局部优化方案》和《兴义市土地征收成片开发调整方案（2020—2025年）》，并分别通过自然资源部审查备案和贵州省政府批复同意；兴义市政府结合项目发展需求，已将该项目符合要求用地纳入建设用地范围组件报批，已获贵州省政府批复同意。省直有关职能部门、黔西南州和兴义市持续对该项目用地情况进行重点监管，未发现违法违规行为发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32468"/>
    <w:rsid w:val="54E32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2026-01-04T02:58:00Z</dcterms:created>
  <dc:creator>Administrator</dc:creator>
  <cp:lastModifiedBy>Administrator</cp:lastModifiedBy>
  <dcterms:modified xsi:type="dcterms:W3CDTF">2026-01-04T02:59:11Z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