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rPr>
          <w:rFonts w:hint="eastAsia" w:ascii="黑体" w:eastAsia="黑体" w:cs="黑体"/>
          <w:sz w:val="32"/>
          <w:szCs w:val="32"/>
          <w:lang w:bidi="ar-SA"/>
        </w:rPr>
      </w:pPr>
    </w:p>
    <w:p>
      <w:pPr>
        <w:overflowPunct w:val="0"/>
        <w:topLinePunct/>
        <w:spacing w:line="600" w:lineRule="exact"/>
        <w:rPr>
          <w:rFonts w:hint="eastAsia" w:ascii="黑体" w:eastAsia="黑体" w:cs="黑体"/>
          <w:sz w:val="32"/>
          <w:szCs w:val="32"/>
          <w:lang w:val="en-US" w:eastAsia="zh-CN" w:bidi="ar-SA"/>
        </w:rPr>
      </w:pPr>
      <w:r>
        <w:rPr>
          <w:rFonts w:hint="eastAsia" w:ascii="黑体" w:eastAsia="黑体" w:cs="黑体"/>
          <w:sz w:val="32"/>
          <w:szCs w:val="32"/>
          <w:lang w:bidi="ar-SA"/>
        </w:rPr>
        <w:t>附件</w:t>
      </w:r>
      <w:r>
        <w:rPr>
          <w:rFonts w:hint="eastAsia" w:ascii="黑体" w:eastAsia="黑体" w:cs="黑体"/>
          <w:sz w:val="32"/>
          <w:szCs w:val="32"/>
          <w:lang w:val="en-US" w:eastAsia="zh-CN" w:bidi="ar-SA"/>
        </w:rPr>
        <w:t>1</w:t>
      </w:r>
    </w:p>
    <w:p>
      <w:pPr>
        <w:overflowPunct w:val="0"/>
        <w:topLinePunct/>
        <w:spacing w:line="600" w:lineRule="exact"/>
        <w:rPr>
          <w:rFonts w:eastAsia="黑体"/>
          <w:sz w:val="32"/>
          <w:szCs w:val="32"/>
        </w:rPr>
      </w:pPr>
      <w:bookmarkStart w:id="0" w:name="_GoBack"/>
      <w:bookmarkEnd w:id="0"/>
    </w:p>
    <w:p>
      <w:pPr>
        <w:overflowPunct w:val="0"/>
        <w:topLinePunct/>
        <w:spacing w:line="600" w:lineRule="exact"/>
        <w:jc w:val="center"/>
        <w:rPr>
          <w:rFonts w:eastAsia="方正小标宋简体"/>
          <w:w w:val="95"/>
          <w:sz w:val="44"/>
          <w:szCs w:val="44"/>
        </w:rPr>
      </w:pPr>
      <w:r>
        <w:rPr>
          <w:rFonts w:eastAsia="方正小标宋简体"/>
          <w:w w:val="95"/>
          <w:sz w:val="44"/>
          <w:szCs w:val="44"/>
        </w:rPr>
        <w:t>中央生态环境保护督察</w:t>
      </w:r>
      <w:r>
        <w:rPr>
          <w:rFonts w:hint="eastAsia" w:eastAsia="方正小标宋简体"/>
          <w:w w:val="95"/>
          <w:sz w:val="44"/>
          <w:szCs w:val="44"/>
          <w:lang w:val="en-US" w:eastAsia="zh-CN"/>
        </w:rPr>
        <w:t>第三十七项</w:t>
      </w:r>
      <w:r>
        <w:rPr>
          <w:rFonts w:eastAsia="方正小标宋简体"/>
          <w:w w:val="95"/>
          <w:sz w:val="44"/>
          <w:szCs w:val="44"/>
        </w:rPr>
        <w:t>整改任务</w:t>
      </w:r>
      <w:r>
        <w:rPr>
          <w:rFonts w:hint="eastAsia" w:eastAsia="方正小标宋简体"/>
          <w:w w:val="95"/>
          <w:sz w:val="44"/>
          <w:szCs w:val="44"/>
          <w:lang w:val="en-US" w:eastAsia="zh-CN"/>
        </w:rPr>
        <w:t>完成情况</w:t>
      </w:r>
      <w:r>
        <w:rPr>
          <w:rFonts w:eastAsia="方正小标宋简体"/>
          <w:w w:val="95"/>
          <w:sz w:val="44"/>
          <w:szCs w:val="44"/>
        </w:rPr>
        <w:t>表</w:t>
      </w:r>
    </w:p>
    <w:p>
      <w:pPr>
        <w:overflowPunct w:val="0"/>
        <w:topLinePunct/>
        <w:spacing w:line="600" w:lineRule="exact"/>
        <w:rPr>
          <w:rFonts w:eastAsia="楷体_GB2312"/>
          <w:sz w:val="32"/>
          <w:szCs w:val="32"/>
        </w:rPr>
      </w:pPr>
    </w:p>
    <w:tbl>
      <w:tblPr>
        <w:tblStyle w:val="8"/>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2378"/>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589" w:hRule="atLeast"/>
          <w:jc w:val="center"/>
        </w:trPr>
        <w:tc>
          <w:tcPr>
            <w:tcW w:w="2378" w:type="dxa"/>
            <w:noWrap w:val="0"/>
            <w:vAlign w:val="center"/>
          </w:tcPr>
          <w:p>
            <w:pPr>
              <w:overflowPunct w:val="0"/>
              <w:topLinePunct/>
              <w:jc w:val="center"/>
              <w:rPr>
                <w:rFonts w:hint="eastAsia" w:ascii="仿宋_GB2312" w:hAnsi="仿宋_GB2312" w:eastAsia="仿宋_GB2312" w:cs="仿宋_GB2312"/>
                <w:kern w:val="2"/>
                <w:sz w:val="21"/>
                <w:szCs w:val="21"/>
                <w:lang w:val="en-US" w:eastAsia="zh-CN" w:bidi="ar-SA"/>
              </w:rPr>
            </w:pPr>
            <w:r>
              <w:rPr>
                <w:rFonts w:hint="eastAsia" w:eastAsia="楷体_GB2312"/>
                <w:kern w:val="0"/>
                <w:sz w:val="30"/>
                <w:szCs w:val="30"/>
                <w:lang w:val="en-US" w:eastAsia="zh-CN"/>
              </w:rPr>
              <w:t>整改任务</w:t>
            </w:r>
          </w:p>
        </w:tc>
        <w:tc>
          <w:tcPr>
            <w:tcW w:w="5839" w:type="dxa"/>
            <w:noWrap w:val="0"/>
            <w:vAlign w:val="center"/>
          </w:tcPr>
          <w:p>
            <w:pPr>
              <w:overflowPunct w:val="0"/>
              <w:topLinePunct/>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《中共贵州省委办公厅 贵州省人民政府办公厅关于印发《&lt;贵州省贯彻落实第二轮中央生态环境保护督察报告整改方案&gt;的通知》（黔党办发〔2022〕17号）第三十七项整改任务：2016年9月，黔东南州黄平县被国务院纳入国家重点生态功能区范围，按要求应制定并严格执行产业准入负面清单。贵州省将铝土矿采选列为黄平县负面清单禁止类产业，明确现有企业应在2018年年底前关闭退出。黄平县不但未退出富城实业有限公司、兴达矿业有限公司等企业，还谎称其不属于有色金属矿采选行业，不在负面清单限制和禁止范围内，导致麦巴铝土矿、王家寨铝土矿等至今仍在非法开采。遥感影像显示，2019年以来，上述两个矿山新增生态破坏面积近28公顷。2014年以来，富城实业有限公司在未办理相关手续情况下，擅自与当地村民签订采矿分包协议，改变开采方式，导致麦巴铝土矿矿区被全面开挖，生态环境破坏严重。经调查，共违法侵占林地面积53.5公顷，耕地4.9公顷。2021年10月，该公司将剥采产生的伴生矿及废石废渣随意堆存填埋，部分淋溶水直接排入外环境，监测显示淋溶水pH值为2，呈酸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88" w:hRule="atLeast"/>
          <w:jc w:val="center"/>
        </w:trPr>
        <w:tc>
          <w:tcPr>
            <w:tcW w:w="2378" w:type="dxa"/>
            <w:noWrap w:val="0"/>
            <w:vAlign w:val="center"/>
          </w:tcPr>
          <w:p>
            <w:pPr>
              <w:overflowPunct w:val="0"/>
              <w:topLinePunct/>
              <w:jc w:val="center"/>
              <w:rPr>
                <w:rFonts w:eastAsia="楷体_GB2312"/>
                <w:kern w:val="0"/>
                <w:sz w:val="30"/>
                <w:szCs w:val="30"/>
              </w:rPr>
            </w:pPr>
            <w:r>
              <w:rPr>
                <w:rFonts w:eastAsia="楷体_GB2312"/>
                <w:kern w:val="0"/>
                <w:sz w:val="30"/>
                <w:szCs w:val="30"/>
              </w:rPr>
              <w:t>整改责任单位</w:t>
            </w:r>
          </w:p>
        </w:tc>
        <w:tc>
          <w:tcPr>
            <w:tcW w:w="5839" w:type="dxa"/>
            <w:noWrap w:val="0"/>
            <w:vAlign w:val="center"/>
          </w:tcPr>
          <w:p>
            <w:pPr>
              <w:overflowPunct w:val="0"/>
              <w:topLinePunct/>
              <w:rPr>
                <w:rFonts w:hint="eastAsia" w:eastAsia="楷体_GB2312"/>
                <w:kern w:val="0"/>
                <w:sz w:val="30"/>
                <w:szCs w:val="30"/>
                <w:lang w:eastAsia="zh-CN"/>
              </w:rPr>
            </w:pPr>
            <w:r>
              <w:rPr>
                <w:rFonts w:hint="eastAsia" w:ascii="仿宋_GB2312" w:hAnsi="仿宋_GB2312" w:eastAsia="仿宋_GB2312" w:cs="仿宋_GB2312"/>
                <w:kern w:val="2"/>
                <w:sz w:val="21"/>
                <w:szCs w:val="21"/>
                <w:lang w:val="en-US" w:eastAsia="zh-CN" w:bidi="ar-SA"/>
              </w:rPr>
              <w:t>黔东州委、州政府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22" w:hRule="atLeast"/>
          <w:jc w:val="center"/>
        </w:trPr>
        <w:tc>
          <w:tcPr>
            <w:tcW w:w="2378" w:type="dxa"/>
            <w:noWrap w:val="0"/>
            <w:vAlign w:val="center"/>
          </w:tcPr>
          <w:p>
            <w:pPr>
              <w:overflowPunct w:val="0"/>
              <w:topLinePunct/>
              <w:jc w:val="center"/>
              <w:rPr>
                <w:rFonts w:eastAsia="楷体_GB2312"/>
                <w:kern w:val="0"/>
                <w:sz w:val="30"/>
                <w:szCs w:val="30"/>
              </w:rPr>
            </w:pPr>
            <w:r>
              <w:rPr>
                <w:rFonts w:eastAsia="楷体_GB2312"/>
                <w:kern w:val="0"/>
                <w:sz w:val="30"/>
                <w:szCs w:val="30"/>
              </w:rPr>
              <w:t>整改目标</w:t>
            </w:r>
          </w:p>
        </w:tc>
        <w:tc>
          <w:tcPr>
            <w:tcW w:w="5839" w:type="dxa"/>
            <w:noWrap w:val="0"/>
            <w:vAlign w:val="center"/>
          </w:tcPr>
          <w:p>
            <w:pPr>
              <w:overflowPunct w:val="0"/>
              <w:topLinePunct/>
              <w:rPr>
                <w:rFonts w:hint="eastAsia" w:eastAsia="仿宋_GB2312"/>
                <w:kern w:val="0"/>
                <w:sz w:val="30"/>
                <w:szCs w:val="30"/>
                <w:lang w:val="en-US" w:eastAsia="zh-CN"/>
              </w:rPr>
            </w:pPr>
            <w:r>
              <w:rPr>
                <w:rFonts w:hint="eastAsia" w:ascii="仿宋_GB2312" w:hAnsi="仿宋_GB2312" w:eastAsia="仿宋_GB2312" w:cs="仿宋_GB2312"/>
                <w:kern w:val="2"/>
                <w:sz w:val="21"/>
                <w:szCs w:val="21"/>
                <w:lang w:val="en-US" w:eastAsia="zh-CN" w:bidi="ar-SA"/>
              </w:rPr>
              <w:t>完成黔东南州黄平县麦巴铝土矿、黄平县重安镇王家寨铝土矿矿山地质环境生态修复，矿山关闭退出。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72" w:hRule="atLeast"/>
          <w:jc w:val="center"/>
        </w:trPr>
        <w:tc>
          <w:tcPr>
            <w:tcW w:w="2378" w:type="dxa"/>
            <w:noWrap w:val="0"/>
            <w:vAlign w:val="center"/>
          </w:tcPr>
          <w:p>
            <w:pPr>
              <w:overflowPunct w:val="0"/>
              <w:topLinePunct/>
              <w:jc w:val="center"/>
              <w:rPr>
                <w:rFonts w:eastAsia="楷体_GB2312"/>
                <w:kern w:val="0"/>
                <w:sz w:val="30"/>
                <w:szCs w:val="30"/>
              </w:rPr>
            </w:pPr>
            <w:r>
              <w:rPr>
                <w:rFonts w:eastAsia="楷体_GB2312"/>
                <w:kern w:val="0"/>
                <w:sz w:val="30"/>
                <w:szCs w:val="30"/>
              </w:rPr>
              <w:t>整改措施</w:t>
            </w:r>
          </w:p>
        </w:tc>
        <w:tc>
          <w:tcPr>
            <w:tcW w:w="5839" w:type="dxa"/>
            <w:noWrap w:val="0"/>
            <w:vAlign w:val="center"/>
          </w:tcPr>
          <w:p>
            <w:pPr>
              <w:pStyle w:val="7"/>
              <w:numPr>
                <w:ilvl w:val="0"/>
                <w:numId w:val="0"/>
              </w:numPr>
              <w:ind w:firstLine="420" w:firstLineChars="20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1.全面清理黄平县行业领域产业准入负面清单管控和执行情况，制定专项整改工作方案。</w:t>
            </w:r>
          </w:p>
          <w:p>
            <w:pPr>
              <w:pStyle w:val="7"/>
              <w:numPr>
                <w:ilvl w:val="0"/>
                <w:numId w:val="0"/>
              </w:numPr>
              <w:ind w:firstLine="420" w:firstLineChars="20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2.依法关闭退出黄平县麦巴铝土矿、黄平县重安镇王家寨铝土矿两个矿山。</w:t>
            </w:r>
          </w:p>
          <w:p>
            <w:pPr>
              <w:pStyle w:val="7"/>
              <w:numPr>
                <w:ilvl w:val="0"/>
                <w:numId w:val="0"/>
              </w:numPr>
              <w:ind w:firstLine="420" w:firstLineChars="20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3.制定并实施矿山地质环境生态修复方案，分期分区开展矿山地质环境生态修复。</w:t>
            </w:r>
          </w:p>
          <w:p>
            <w:pPr>
              <w:pStyle w:val="7"/>
              <w:numPr>
                <w:ilvl w:val="0"/>
                <w:numId w:val="0"/>
              </w:numPr>
              <w:ind w:firstLine="420" w:firstLineChars="200"/>
              <w:rPr>
                <w:rFonts w:hint="eastAsia"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4.对剥采产生的伴生矿及废石废渣污染，开展全面调查，制定整治方案，采取围挡、截洪、覆土复绿等工程措施治理</w:t>
            </w:r>
            <w:r>
              <w:rPr>
                <w:rFonts w:hint="eastAsia" w:ascii="仿宋_GB2312" w:hAnsi="仿宋_GB2312" w:eastAsia="仿宋_GB2312" w:cs="仿宋_GB2312"/>
                <w:kern w:val="2"/>
                <w:sz w:val="21"/>
                <w:szCs w:val="21"/>
                <w:lang w:val="en-US" w:eastAsia="zh-CN" w:bidi="ar-SA"/>
              </w:rPr>
              <w:t>。</w:t>
            </w:r>
          </w:p>
          <w:p>
            <w:pPr>
              <w:ind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5</w:t>
            </w:r>
            <w:r>
              <w:rPr>
                <w:rFonts w:hint="eastAsia" w:ascii="仿宋_GB2312" w:hAnsi="仿宋_GB2312" w:eastAsia="仿宋_GB2312" w:cs="仿宋_GB2312"/>
                <w:kern w:val="2"/>
                <w:sz w:val="21"/>
                <w:szCs w:val="21"/>
                <w:lang w:val="en-US" w:eastAsia="zh-CN" w:bidi="ar-SA"/>
              </w:rPr>
              <w:t>.对贵州黄平富城实业有限公司麦巴铝土矿和黄平县兴达矿业有限公司王家寨铝土矿涉嫌违法违规行为进行立案查处</w:t>
            </w:r>
            <w:r>
              <w:rPr>
                <w:rFonts w:hint="default" w:ascii="仿宋_GB2312" w:hAnsi="仿宋_GB2312" w:eastAsia="仿宋_GB2312" w:cs="仿宋_GB2312"/>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581" w:hRule="atLeast"/>
          <w:jc w:val="center"/>
        </w:trPr>
        <w:tc>
          <w:tcPr>
            <w:tcW w:w="2378" w:type="dxa"/>
            <w:noWrap w:val="0"/>
            <w:vAlign w:val="center"/>
          </w:tcPr>
          <w:p>
            <w:pPr>
              <w:overflowPunct w:val="0"/>
              <w:topLinePunct/>
              <w:jc w:val="center"/>
              <w:rPr>
                <w:rFonts w:hint="default" w:eastAsia="楷体_GB2312"/>
                <w:kern w:val="0"/>
                <w:sz w:val="30"/>
                <w:szCs w:val="30"/>
                <w:lang w:val="en-US" w:eastAsia="zh-CN"/>
              </w:rPr>
            </w:pPr>
            <w:r>
              <w:rPr>
                <w:rFonts w:eastAsia="楷体_GB2312"/>
                <w:kern w:val="0"/>
                <w:sz w:val="30"/>
                <w:szCs w:val="30"/>
              </w:rPr>
              <w:t>整改</w:t>
            </w:r>
            <w:r>
              <w:rPr>
                <w:rFonts w:hint="eastAsia" w:eastAsia="楷体_GB2312"/>
                <w:kern w:val="0"/>
                <w:sz w:val="30"/>
                <w:szCs w:val="30"/>
                <w:lang w:val="en-US" w:eastAsia="zh-CN"/>
              </w:rPr>
              <w:t>主要工作</w:t>
            </w:r>
          </w:p>
        </w:tc>
        <w:tc>
          <w:tcPr>
            <w:tcW w:w="5839" w:type="dxa"/>
            <w:noWrap w:val="0"/>
            <w:vAlign w:val="center"/>
          </w:tcPr>
          <w:p>
            <w:pPr>
              <w:pStyle w:val="7"/>
              <w:numPr>
                <w:ilvl w:val="0"/>
                <w:numId w:val="0"/>
              </w:numPr>
              <w:ind w:firstLine="420" w:firstLineChars="20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w:t>
            </w:r>
            <w:r>
              <w:rPr>
                <w:rFonts w:hint="default" w:ascii="仿宋_GB2312" w:hAnsi="仿宋_GB2312" w:eastAsia="仿宋_GB2312" w:cs="仿宋_GB2312"/>
                <w:kern w:val="2"/>
                <w:sz w:val="21"/>
                <w:szCs w:val="21"/>
                <w:lang w:val="en-US" w:eastAsia="zh-CN" w:bidi="ar-SA"/>
              </w:rPr>
              <w:t>黄平县已全面开展负面清单管控执行情况排查研判，于2022年6月30日制定并印发了《黄平县重点生态功能区产业准入负面清单问题整改工作方案》。并按照明确的管控措施及要求进行严格管控。</w:t>
            </w:r>
          </w:p>
          <w:p>
            <w:pPr>
              <w:pStyle w:val="7"/>
              <w:numPr>
                <w:ilvl w:val="0"/>
                <w:numId w:val="0"/>
              </w:numPr>
              <w:ind w:firstLine="420" w:firstLineChars="20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2.黄平县麦巴铝土矿关闭退出情况：2023年12月21日省自然资源厅向</w:t>
            </w:r>
            <w:r>
              <w:rPr>
                <w:rFonts w:hint="default" w:ascii="仿宋_GB2312" w:hAnsi="仿宋_GB2312" w:eastAsia="仿宋_GB2312" w:cs="仿宋_GB2312"/>
                <w:kern w:val="2"/>
                <w:sz w:val="21"/>
                <w:szCs w:val="21"/>
                <w:lang w:val="en-US" w:eastAsia="zh-CN" w:bidi="ar-SA"/>
              </w:rPr>
              <w:t>贵州黄平富城实业有限公司</w:t>
            </w:r>
            <w:r>
              <w:rPr>
                <w:rFonts w:hint="eastAsia" w:ascii="仿宋_GB2312" w:hAnsi="仿宋_GB2312" w:eastAsia="仿宋_GB2312" w:cs="仿宋_GB2312"/>
                <w:kern w:val="2"/>
                <w:sz w:val="21"/>
                <w:szCs w:val="21"/>
                <w:lang w:val="en-US" w:eastAsia="zh-CN" w:bidi="ar-SA"/>
              </w:rPr>
              <w:t>下发贵州省自然资源厅行政处罚决定书（黔自然资执法罚〔2023〕1号）吊销该矿山采矿权许可证。黄平县重安镇王家寨铝土矿关闭退出情况：</w:t>
            </w:r>
            <w:r>
              <w:rPr>
                <w:rFonts w:hint="default" w:ascii="仿宋_GB2312" w:hAnsi="仿宋_GB2312" w:eastAsia="仿宋_GB2312" w:cs="仿宋_GB2312"/>
                <w:kern w:val="2"/>
                <w:sz w:val="21"/>
                <w:szCs w:val="21"/>
                <w:lang w:val="en-US" w:eastAsia="zh-CN" w:bidi="ar-SA"/>
              </w:rPr>
              <w:t>2023年12月21日省自然资源厅向黄平县兴达矿业有限公司下发贵州省自然资源厅行政处罚决定书（黔自然资执法罚〔2023〕2号）吊销该矿山采矿权许可证。</w:t>
            </w:r>
          </w:p>
          <w:p>
            <w:pPr>
              <w:pStyle w:val="7"/>
              <w:numPr>
                <w:ilvl w:val="0"/>
                <w:numId w:val="0"/>
              </w:numPr>
              <w:ind w:firstLine="420" w:firstLineChars="20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r>
              <w:rPr>
                <w:rFonts w:hint="default" w:ascii="仿宋_GB2312" w:hAnsi="仿宋_GB2312" w:eastAsia="仿宋_GB2312" w:cs="仿宋_GB2312"/>
                <w:kern w:val="2"/>
                <w:sz w:val="21"/>
                <w:szCs w:val="21"/>
                <w:lang w:val="en-US" w:eastAsia="zh-CN" w:bidi="ar-SA"/>
              </w:rPr>
              <w:t>坚持科学设计抓整改，委托贵州地矿101地质队编制了《贵州省麦巴铝土矿生态修复勘查报告与施工图设计》《黄平县重安镇王家寨铝土矿生态修复勘查报告与施工图设计》。已完成采坑回填、土地平整、覆土、石块清理和碎土、撒播草（花）籽、边坡治理、种植油麻藤等主体工程，复绿工程已完成。2023年12月，黄平县自然资源局</w:t>
            </w:r>
            <w:r>
              <w:rPr>
                <w:rFonts w:hint="eastAsia" w:ascii="仿宋_GB2312" w:hAnsi="仿宋_GB2312" w:eastAsia="仿宋_GB2312" w:cs="仿宋_GB2312"/>
                <w:kern w:val="2"/>
                <w:sz w:val="21"/>
                <w:szCs w:val="21"/>
                <w:lang w:val="en-US" w:eastAsia="zh-CN" w:bidi="ar-SA"/>
              </w:rPr>
              <w:t>完成初步验收后，报请州自然资源局</w:t>
            </w:r>
            <w:r>
              <w:rPr>
                <w:rFonts w:hint="default" w:ascii="仿宋_GB2312" w:hAnsi="仿宋_GB2312" w:eastAsia="仿宋_GB2312" w:cs="仿宋_GB2312"/>
                <w:kern w:val="2"/>
                <w:sz w:val="21"/>
                <w:szCs w:val="21"/>
                <w:lang w:val="en-US" w:eastAsia="zh-CN" w:bidi="ar-SA"/>
              </w:rPr>
              <w:t>组织有关部门依据《贵州省矿山地质环境治理验收标准及办法(试行)》，采用检查实物等形式，对</w:t>
            </w:r>
            <w:r>
              <w:rPr>
                <w:rFonts w:hint="eastAsia" w:ascii="仿宋_GB2312" w:hAnsi="仿宋_GB2312" w:eastAsia="仿宋_GB2312" w:cs="仿宋_GB2312"/>
                <w:kern w:val="2"/>
                <w:sz w:val="21"/>
                <w:szCs w:val="21"/>
                <w:lang w:val="en-US" w:eastAsia="zh-CN" w:bidi="ar-SA"/>
              </w:rPr>
              <w:t>贵州省黄平县麦巴铝土矿和</w:t>
            </w:r>
            <w:r>
              <w:rPr>
                <w:rFonts w:hint="default" w:ascii="仿宋_GB2312" w:hAnsi="仿宋_GB2312" w:eastAsia="仿宋_GB2312" w:cs="仿宋_GB2312"/>
                <w:kern w:val="2"/>
                <w:sz w:val="21"/>
                <w:szCs w:val="21"/>
                <w:lang w:val="en-US" w:eastAsia="zh-CN" w:bidi="ar-SA"/>
              </w:rPr>
              <w:t>黄平县重安镇王家寨铝土矿地质环境生态修复工程进行初步验收。贵州省黄平县麦巴铝土矿地质环境生态修复工程</w:t>
            </w:r>
            <w:r>
              <w:rPr>
                <w:rFonts w:hint="eastAsia" w:ascii="仿宋_GB2312" w:hAnsi="仿宋_GB2312" w:eastAsia="仿宋_GB2312" w:cs="仿宋_GB2312"/>
                <w:kern w:val="2"/>
                <w:sz w:val="21"/>
                <w:szCs w:val="21"/>
                <w:lang w:val="en-US" w:eastAsia="zh-CN" w:bidi="ar-SA"/>
              </w:rPr>
              <w:t>和</w:t>
            </w:r>
            <w:r>
              <w:rPr>
                <w:rFonts w:hint="default" w:ascii="仿宋_GB2312" w:hAnsi="仿宋_GB2312" w:eastAsia="仿宋_GB2312" w:cs="仿宋_GB2312"/>
                <w:kern w:val="2"/>
                <w:sz w:val="21"/>
                <w:szCs w:val="21"/>
                <w:lang w:val="en-US" w:eastAsia="zh-CN" w:bidi="ar-SA"/>
              </w:rPr>
              <w:t>黄平县重安镇王家寨铝土矿地质环境生态修复工程已按照《施工图设计》完成全部设计内容，工程质量满足设计及规范要求，复垦复绿区域达到验收标准，综合相关部门参验人员提出的验收意见，同意通过验收。已复垦复绿的土地，未经合法批准严禁非法占用或破坏。</w:t>
            </w:r>
          </w:p>
          <w:p>
            <w:pPr>
              <w:pStyle w:val="7"/>
              <w:numPr>
                <w:ilvl w:val="0"/>
                <w:numId w:val="0"/>
              </w:numPr>
              <w:ind w:firstLine="420" w:firstLineChars="20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w:t>
            </w:r>
            <w:r>
              <w:rPr>
                <w:rFonts w:hint="default" w:ascii="仿宋_GB2312" w:hAnsi="仿宋_GB2312" w:eastAsia="仿宋_GB2312" w:cs="仿宋_GB2312"/>
                <w:kern w:val="2"/>
                <w:sz w:val="21"/>
                <w:szCs w:val="21"/>
                <w:lang w:val="en-US" w:eastAsia="zh-CN" w:bidi="ar-SA"/>
              </w:rPr>
              <w:t>委托第三方编制了全面调查方案并开展监测。将矿区的伴生矿及废石废渣纳入矿山地质环境生态修复治理内容，已完成围挡，截洪，覆土复绿治理工程。</w:t>
            </w:r>
          </w:p>
          <w:p>
            <w:pPr>
              <w:ind w:firstLine="420" w:firstLineChars="200"/>
              <w:rPr>
                <w:rFonts w:hint="default"/>
                <w:lang w:val="en-US" w:eastAsia="zh-CN"/>
              </w:rPr>
            </w:pPr>
            <w:r>
              <w:rPr>
                <w:rFonts w:hint="eastAsia" w:ascii="仿宋_GB2312" w:hAnsi="仿宋_GB2312" w:eastAsia="仿宋_GB2312" w:cs="仿宋_GB2312"/>
                <w:kern w:val="2"/>
                <w:sz w:val="21"/>
                <w:szCs w:val="21"/>
                <w:lang w:val="en-US" w:eastAsia="zh-CN" w:bidi="ar-SA"/>
              </w:rPr>
              <w:t>5.非法占用农用地案件由州公安局</w:t>
            </w:r>
            <w:r>
              <w:rPr>
                <w:rFonts w:hint="default" w:ascii="仿宋_GB2312" w:hAnsi="仿宋_GB2312" w:eastAsia="仿宋_GB2312" w:cs="仿宋_GB2312"/>
                <w:kern w:val="2"/>
                <w:sz w:val="21"/>
                <w:szCs w:val="21"/>
                <w:lang w:val="en-US" w:eastAsia="zh-CN" w:bidi="ar-SA"/>
              </w:rPr>
              <w:t>指定施秉公安局对贵州黄平富城实业有限公司麦巴铝土矿和黄平县兴达矿业有限公司王家寨铝土矿涉嫌违法违规行为进行立案查处，根据部门职能职责，贵州省施秉县人民检察院于2022年7月1日分别对贵州黄平富城实业有限公司、黄平县兴达矿业有限公司</w:t>
            </w:r>
            <w:r>
              <w:rPr>
                <w:rFonts w:hint="eastAsia" w:ascii="仿宋_GB2312" w:hAnsi="仿宋_GB2312" w:eastAsia="仿宋_GB2312" w:cs="仿宋_GB2312"/>
                <w:kern w:val="2"/>
                <w:sz w:val="21"/>
                <w:szCs w:val="21"/>
                <w:lang w:val="en-US" w:eastAsia="zh-CN" w:bidi="ar-SA"/>
              </w:rPr>
              <w:t>非法占用农用地案进行审查起诉</w:t>
            </w:r>
            <w:r>
              <w:rPr>
                <w:rFonts w:hint="default" w:ascii="仿宋_GB2312" w:hAnsi="仿宋_GB2312" w:eastAsia="仿宋_GB2312" w:cs="仿宋_GB2312"/>
                <w:kern w:val="2"/>
                <w:sz w:val="21"/>
                <w:szCs w:val="21"/>
                <w:lang w:val="en-US" w:eastAsia="zh-CN" w:bidi="ar-SA"/>
              </w:rPr>
              <w:t>，2022年11月16日，施秉县检察院作为公益诉讼起诉人向镇远县人民法院提出刑事附带民事公益诉讼，要求判令富城公司和兴达公司分别对其非法占用农用地破坏的土地资源环境进行修复，如未能履行修复义务，将分别承担生态环境修复费 6335.69 万元、2286.03 万元</w:t>
            </w:r>
            <w:r>
              <w:rPr>
                <w:rFonts w:hint="eastAsia" w:ascii="仿宋_GB2312" w:hAnsi="仿宋_GB2312" w:eastAsia="仿宋_GB2312" w:cs="仿宋_GB2312"/>
                <w:kern w:val="2"/>
                <w:sz w:val="21"/>
                <w:szCs w:val="21"/>
                <w:lang w:val="en-US" w:eastAsia="zh-CN" w:bidi="ar-SA"/>
              </w:rPr>
              <w:t>，</w:t>
            </w:r>
            <w:r>
              <w:rPr>
                <w:rFonts w:hint="default" w:ascii="仿宋_GB2312" w:hAnsi="仿宋_GB2312" w:eastAsia="仿宋_GB2312" w:cs="仿宋_GB2312"/>
                <w:kern w:val="2"/>
                <w:sz w:val="21"/>
                <w:szCs w:val="21"/>
                <w:lang w:val="en-US" w:eastAsia="zh-CN" w:bidi="ar-SA"/>
              </w:rPr>
              <w:t>目前案件已侦破。</w:t>
            </w:r>
          </w:p>
        </w:tc>
      </w:tr>
    </w:tbl>
    <w:p>
      <w:pPr>
        <w:pStyle w:val="6"/>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2704E12"/>
    <w:rsid w:val="029378DF"/>
    <w:rsid w:val="02E6789F"/>
    <w:rsid w:val="03127BE1"/>
    <w:rsid w:val="034519AC"/>
    <w:rsid w:val="04021E95"/>
    <w:rsid w:val="0596728B"/>
    <w:rsid w:val="080935D5"/>
    <w:rsid w:val="08A45431"/>
    <w:rsid w:val="09255543"/>
    <w:rsid w:val="0C0E654C"/>
    <w:rsid w:val="0D3F6C6E"/>
    <w:rsid w:val="0D406F16"/>
    <w:rsid w:val="0D562240"/>
    <w:rsid w:val="0E0F1E5C"/>
    <w:rsid w:val="0E214D8B"/>
    <w:rsid w:val="0E79227C"/>
    <w:rsid w:val="10C8678C"/>
    <w:rsid w:val="11324A5C"/>
    <w:rsid w:val="11C27683"/>
    <w:rsid w:val="12BA634D"/>
    <w:rsid w:val="131E1FEE"/>
    <w:rsid w:val="16050DA8"/>
    <w:rsid w:val="163D0558"/>
    <w:rsid w:val="1658065C"/>
    <w:rsid w:val="16BA472A"/>
    <w:rsid w:val="16C873D0"/>
    <w:rsid w:val="195E6FCA"/>
    <w:rsid w:val="19DD51F8"/>
    <w:rsid w:val="1A792F4A"/>
    <w:rsid w:val="1C130BA6"/>
    <w:rsid w:val="1C537ED1"/>
    <w:rsid w:val="1C9B0810"/>
    <w:rsid w:val="1D5C04FF"/>
    <w:rsid w:val="1E1D7456"/>
    <w:rsid w:val="1FA1526B"/>
    <w:rsid w:val="205D7C42"/>
    <w:rsid w:val="20B435CD"/>
    <w:rsid w:val="20D96AD6"/>
    <w:rsid w:val="228B593E"/>
    <w:rsid w:val="23037836"/>
    <w:rsid w:val="23B31054"/>
    <w:rsid w:val="23D94090"/>
    <w:rsid w:val="25CC0C0E"/>
    <w:rsid w:val="269A75F2"/>
    <w:rsid w:val="26B31FD4"/>
    <w:rsid w:val="271E084A"/>
    <w:rsid w:val="282172B4"/>
    <w:rsid w:val="2A3C6097"/>
    <w:rsid w:val="2C265889"/>
    <w:rsid w:val="2CEB5069"/>
    <w:rsid w:val="2D897166"/>
    <w:rsid w:val="2E6A6E68"/>
    <w:rsid w:val="2E966E42"/>
    <w:rsid w:val="2F151AF8"/>
    <w:rsid w:val="30A95600"/>
    <w:rsid w:val="30BF7445"/>
    <w:rsid w:val="31182634"/>
    <w:rsid w:val="31322260"/>
    <w:rsid w:val="32EE2422"/>
    <w:rsid w:val="33E75F47"/>
    <w:rsid w:val="37FC26DE"/>
    <w:rsid w:val="381165F7"/>
    <w:rsid w:val="382A0B26"/>
    <w:rsid w:val="395A4D4C"/>
    <w:rsid w:val="3AC02389"/>
    <w:rsid w:val="3BF21AC7"/>
    <w:rsid w:val="3BFE603C"/>
    <w:rsid w:val="3D7866EB"/>
    <w:rsid w:val="3DE62E07"/>
    <w:rsid w:val="3EE61672"/>
    <w:rsid w:val="3FEF6966"/>
    <w:rsid w:val="400242A3"/>
    <w:rsid w:val="40051FB1"/>
    <w:rsid w:val="42737B77"/>
    <w:rsid w:val="45183B48"/>
    <w:rsid w:val="466E61EE"/>
    <w:rsid w:val="49D638E6"/>
    <w:rsid w:val="49DA7E82"/>
    <w:rsid w:val="4AD2252B"/>
    <w:rsid w:val="4BCF3A69"/>
    <w:rsid w:val="4CE80C62"/>
    <w:rsid w:val="4D422F81"/>
    <w:rsid w:val="4FBB3731"/>
    <w:rsid w:val="4FFD6029"/>
    <w:rsid w:val="50A06534"/>
    <w:rsid w:val="527B1B2C"/>
    <w:rsid w:val="533B39BD"/>
    <w:rsid w:val="545B3B6C"/>
    <w:rsid w:val="54C243B5"/>
    <w:rsid w:val="55C87735"/>
    <w:rsid w:val="56944CCF"/>
    <w:rsid w:val="57216F78"/>
    <w:rsid w:val="57B57142"/>
    <w:rsid w:val="58793747"/>
    <w:rsid w:val="58AF788E"/>
    <w:rsid w:val="59195B23"/>
    <w:rsid w:val="59450481"/>
    <w:rsid w:val="59F2194C"/>
    <w:rsid w:val="5B29490B"/>
    <w:rsid w:val="5BAC2376"/>
    <w:rsid w:val="5BEC5C65"/>
    <w:rsid w:val="5C697683"/>
    <w:rsid w:val="5E342CFF"/>
    <w:rsid w:val="5E382614"/>
    <w:rsid w:val="5EDA17C5"/>
    <w:rsid w:val="5EFC0712"/>
    <w:rsid w:val="5F864E38"/>
    <w:rsid w:val="60247E8A"/>
    <w:rsid w:val="60794718"/>
    <w:rsid w:val="60F34B93"/>
    <w:rsid w:val="61795EB2"/>
    <w:rsid w:val="61C53195"/>
    <w:rsid w:val="61DB408B"/>
    <w:rsid w:val="62413EFE"/>
    <w:rsid w:val="62530005"/>
    <w:rsid w:val="62591BAA"/>
    <w:rsid w:val="62BB1119"/>
    <w:rsid w:val="62BF2F49"/>
    <w:rsid w:val="64921628"/>
    <w:rsid w:val="652A37D1"/>
    <w:rsid w:val="68B07921"/>
    <w:rsid w:val="693B7040"/>
    <w:rsid w:val="6B21309B"/>
    <w:rsid w:val="6BB359AF"/>
    <w:rsid w:val="6BB971B3"/>
    <w:rsid w:val="6C7C0FBF"/>
    <w:rsid w:val="6E185C1A"/>
    <w:rsid w:val="6F383A0E"/>
    <w:rsid w:val="6FB54961"/>
    <w:rsid w:val="709069E2"/>
    <w:rsid w:val="71B93666"/>
    <w:rsid w:val="71C737B6"/>
    <w:rsid w:val="71D63DC2"/>
    <w:rsid w:val="71E77D74"/>
    <w:rsid w:val="72445046"/>
    <w:rsid w:val="733C1788"/>
    <w:rsid w:val="73F80367"/>
    <w:rsid w:val="740440E7"/>
    <w:rsid w:val="743B37D2"/>
    <w:rsid w:val="74E3500A"/>
    <w:rsid w:val="75245E78"/>
    <w:rsid w:val="75701DF3"/>
    <w:rsid w:val="75B87BB8"/>
    <w:rsid w:val="76612C20"/>
    <w:rsid w:val="770902DF"/>
    <w:rsid w:val="77EE6059"/>
    <w:rsid w:val="784F1E08"/>
    <w:rsid w:val="7860333A"/>
    <w:rsid w:val="78C75931"/>
    <w:rsid w:val="78F440B1"/>
    <w:rsid w:val="79554A90"/>
    <w:rsid w:val="79767BB7"/>
    <w:rsid w:val="7A0C5736"/>
    <w:rsid w:val="7A1F155E"/>
    <w:rsid w:val="7ACD3CA6"/>
    <w:rsid w:val="7B231ED7"/>
    <w:rsid w:val="7BAC05EE"/>
    <w:rsid w:val="7BEC2214"/>
    <w:rsid w:val="7DC66C11"/>
    <w:rsid w:val="7E713CF8"/>
    <w:rsid w:val="7E9B5D94"/>
    <w:rsid w:val="7F09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200" w:firstLine="420" w:firstLineChars="200"/>
    </w:pPr>
    <w:rPr>
      <w:sz w:val="24"/>
      <w:szCs w:val="24"/>
    </w:rPr>
  </w:style>
  <w:style w:type="paragraph" w:styleId="3">
    <w:name w:val="Body Text Indent"/>
    <w:basedOn w:val="1"/>
    <w:next w:val="4"/>
    <w:qFormat/>
    <w:uiPriority w:val="0"/>
    <w:pPr>
      <w:spacing w:after="120"/>
      <w:ind w:left="200" w:leftChars="200"/>
    </w:pPr>
  </w:style>
  <w:style w:type="paragraph" w:styleId="4">
    <w:name w:val="Body Text Indent 2"/>
    <w:basedOn w:val="1"/>
    <w:next w:val="5"/>
    <w:qFormat/>
    <w:uiPriority w:val="0"/>
    <w:pPr>
      <w:spacing w:line="460" w:lineRule="exact"/>
      <w:ind w:left="910" w:leftChars="510" w:hanging="400" w:hangingChars="400"/>
    </w:pPr>
    <w:rPr>
      <w:rFonts w:ascii="仿宋_GB2312" w:hAnsi="Times New Roman" w:eastAsia="仿宋_GB2312" w:cs="Times New Roman"/>
      <w:sz w:val="32"/>
      <w:szCs w:val="24"/>
    </w:rPr>
  </w:style>
  <w:style w:type="paragraph" w:styleId="5">
    <w:name w:val="Body Text Indent 3"/>
    <w:basedOn w:val="1"/>
    <w:qFormat/>
    <w:uiPriority w:val="0"/>
    <w:pPr>
      <w:ind w:left="200" w:leftChars="200"/>
    </w:pPr>
    <w:rPr>
      <w:sz w:val="16"/>
      <w:szCs w:val="16"/>
    </w:rPr>
  </w:style>
  <w:style w:type="paragraph" w:styleId="7">
    <w:name w:val="footer"/>
    <w:basedOn w:val="1"/>
    <w:next w:val="3"/>
    <w:qFormat/>
    <w:uiPriority w:val="0"/>
    <w:pPr>
      <w:tabs>
        <w:tab w:val="center" w:pos="4153"/>
        <w:tab w:val="right" w:pos="8306"/>
      </w:tabs>
      <w:snapToGrid w:val="0"/>
      <w:jc w:val="left"/>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2021-12-29T09:05:00Z</dcterms:created>
  <dc:creator>Administrator</dc:creator>
  <cp:lastModifiedBy>姬胜源矿产资源保护监督处</cp:lastModifiedBy>
  <dcterms:modified xsi:type="dcterms:W3CDTF">2024-06-26T01:50:23Z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3703A161D7964EAE9F86AECB798F6C38_12</vt:lpwstr>
  </property>
</Properties>
</file>