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rPr>
          <w:rFonts w:eastAsia="黑体"/>
          <w:sz w:val="32"/>
          <w:szCs w:val="32"/>
        </w:rPr>
      </w:pPr>
      <w:r>
        <w:rPr>
          <w:rFonts w:hint="eastAsia" w:ascii="黑体" w:eastAsia="黑体" w:cs="黑体"/>
          <w:sz w:val="32"/>
          <w:szCs w:val="32"/>
        </w:rPr>
        <w:t>附件3</w:t>
      </w:r>
    </w:p>
    <w:p>
      <w:pPr>
        <w:overflowPunct w:val="0"/>
        <w:topLinePunct/>
        <w:spacing w:line="600" w:lineRule="exact"/>
        <w:jc w:val="center"/>
        <w:rPr>
          <w:rFonts w:eastAsia="方正小标宋简体"/>
          <w:w w:val="95"/>
          <w:sz w:val="44"/>
          <w:szCs w:val="44"/>
        </w:rPr>
      </w:pPr>
      <w:bookmarkStart w:id="0" w:name="_GoBack"/>
      <w:r>
        <w:rPr>
          <w:rFonts w:eastAsia="方正小标宋简体"/>
          <w:w w:val="95"/>
          <w:sz w:val="44"/>
          <w:szCs w:val="44"/>
        </w:rPr>
        <w:t>中央生态环境保护督察</w:t>
      </w:r>
      <w:r>
        <w:rPr>
          <w:rFonts w:hint="eastAsia" w:eastAsia="方正小标宋简体"/>
          <w:w w:val="95"/>
          <w:sz w:val="44"/>
          <w:szCs w:val="44"/>
        </w:rPr>
        <w:t>第四十三项</w:t>
      </w:r>
      <w:r>
        <w:rPr>
          <w:rFonts w:eastAsia="方正小标宋简体"/>
          <w:w w:val="95"/>
          <w:sz w:val="44"/>
          <w:szCs w:val="44"/>
        </w:rPr>
        <w:t>整改任务</w:t>
      </w:r>
    </w:p>
    <w:bookmarkEnd w:id="0"/>
    <w:p>
      <w:pPr>
        <w:overflowPunct w:val="0"/>
        <w:topLinePunct/>
        <w:spacing w:line="600" w:lineRule="exact"/>
        <w:jc w:val="center"/>
        <w:rPr>
          <w:rFonts w:eastAsia="楷体_GB2312"/>
          <w:sz w:val="32"/>
          <w:szCs w:val="32"/>
        </w:rPr>
      </w:pPr>
      <w:r>
        <w:rPr>
          <w:rFonts w:hint="eastAsia" w:eastAsia="方正小标宋简体"/>
          <w:w w:val="95"/>
          <w:sz w:val="44"/>
          <w:szCs w:val="44"/>
        </w:rPr>
        <w:t>完成情况</w:t>
      </w:r>
      <w:r>
        <w:rPr>
          <w:rFonts w:eastAsia="方正小标宋简体"/>
          <w:w w:val="95"/>
          <w:sz w:val="44"/>
          <w:szCs w:val="44"/>
        </w:rPr>
        <w:t>表</w:t>
      </w:r>
    </w:p>
    <w:tbl>
      <w:tblPr>
        <w:tblStyle w:val="3"/>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2258"/>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589" w:hRule="atLeast"/>
          <w:jc w:val="center"/>
        </w:trPr>
        <w:tc>
          <w:tcPr>
            <w:tcW w:w="2404" w:type="dxa"/>
            <w:vAlign w:val="center"/>
          </w:tcPr>
          <w:p>
            <w:pPr>
              <w:overflowPunct w:val="0"/>
              <w:topLinePunct/>
              <w:jc w:val="center"/>
              <w:rPr>
                <w:rFonts w:eastAsia="楷体_GB2312"/>
                <w:kern w:val="0"/>
                <w:sz w:val="30"/>
                <w:szCs w:val="30"/>
              </w:rPr>
            </w:pPr>
            <w:r>
              <w:rPr>
                <w:rFonts w:eastAsia="楷体_GB2312"/>
                <w:kern w:val="0"/>
                <w:sz w:val="30"/>
                <w:szCs w:val="30"/>
              </w:rPr>
              <w:t>整改任务</w:t>
            </w:r>
          </w:p>
        </w:tc>
        <w:tc>
          <w:tcPr>
            <w:tcW w:w="6343" w:type="dxa"/>
            <w:vAlign w:val="center"/>
          </w:tcPr>
          <w:p>
            <w:pPr>
              <w:overflowPunct w:val="0"/>
              <w:topLinePunct/>
              <w:spacing w:line="380" w:lineRule="exact"/>
              <w:rPr>
                <w:rFonts w:ascii="仿宋_GB2312" w:hAnsi="仿宋_GB2312" w:eastAsia="仿宋_GB2312" w:cs="仿宋_GB2312"/>
                <w:kern w:val="0"/>
                <w:sz w:val="24"/>
              </w:rPr>
            </w:pPr>
            <w:r>
              <w:rPr>
                <w:rFonts w:hint="eastAsia" w:ascii="仿宋_GB2312" w:eastAsia="仿宋_GB2312"/>
                <w:color w:val="000000"/>
                <w:sz w:val="24"/>
              </w:rPr>
              <w:t>《贵州省中央生态环境保护督察整改任务清单》第四十三项整改任务：</w:t>
            </w:r>
            <w:r>
              <w:rPr>
                <w:rFonts w:hint="eastAsia" w:ascii="仿宋_GB2312" w:hAnsi="仿宋_GB2312" w:eastAsia="仿宋_GB2312" w:cs="仿宋_GB2312"/>
                <w:color w:val="000000"/>
                <w:sz w:val="24"/>
              </w:rPr>
              <w:t>2020年6月，国家有关部门印发《绿色矿山评价指标》，将“安全许可证合法有效”“近三年未受到行政处罚或处罚已整改到位”“矿区范围未涉及各类自然保护地”等作为绿色矿山建设的先决条件。督察发现，贵州省部分市州自然资源部门对绿色矿山建设工作指导不力、审核把关不严，导致部分绿色矿山名不符实。贵阳市修文县评选的14座绿色矿山中，多数不符合条件，其中长冲大槽铝土矿山等在申报时未取得安全生产许可证，马家桥砂石厂等13座矿山2018年以来因侵占林地等被有关部门处罚47次。2021年10月暗查发现，14座绿色矿山中有12座不同程度存在生态破坏严重、生态修复滞后等问题。此外，铜仁市松桃县白石溪锰矿、黔东南州岑巩县姚家林水泥用石灰岩矿、台江县台雄矿泉水矿等3个矿山与自然保护地重叠，但未移出“绿色矿山”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9" w:hRule="atLeast"/>
          <w:jc w:val="center"/>
        </w:trPr>
        <w:tc>
          <w:tcPr>
            <w:tcW w:w="2404" w:type="dxa"/>
            <w:vAlign w:val="center"/>
          </w:tcPr>
          <w:p>
            <w:pPr>
              <w:overflowPunct w:val="0"/>
              <w:topLinePunct/>
              <w:jc w:val="center"/>
              <w:rPr>
                <w:rFonts w:eastAsia="楷体_GB2312"/>
                <w:kern w:val="0"/>
                <w:sz w:val="30"/>
                <w:szCs w:val="30"/>
              </w:rPr>
            </w:pPr>
            <w:r>
              <w:rPr>
                <w:rFonts w:eastAsia="楷体_GB2312"/>
                <w:kern w:val="0"/>
                <w:sz w:val="30"/>
                <w:szCs w:val="30"/>
              </w:rPr>
              <w:t>整改责任单位</w:t>
            </w:r>
          </w:p>
        </w:tc>
        <w:tc>
          <w:tcPr>
            <w:tcW w:w="6343" w:type="dxa"/>
            <w:vAlign w:val="center"/>
          </w:tcPr>
          <w:p>
            <w:pPr>
              <w:overflowPunct w:val="0"/>
              <w:topLinePunct/>
              <w:spacing w:line="380" w:lineRule="exact"/>
              <w:rPr>
                <w:rFonts w:ascii="仿宋_GB2312" w:hAnsi="仿宋_GB2312" w:eastAsia="仿宋_GB2312" w:cs="仿宋_GB2312"/>
                <w:kern w:val="0"/>
                <w:sz w:val="24"/>
              </w:rPr>
            </w:pPr>
            <w:r>
              <w:rPr>
                <w:rFonts w:hint="eastAsia" w:ascii="仿宋_GB2312" w:hAnsi="仿宋_GB2312" w:eastAsia="仿宋_GB2312" w:cs="仿宋_GB2312"/>
                <w:color w:val="000000"/>
                <w:sz w:val="24"/>
              </w:rPr>
              <w:t>贵阳市、铜仁市、黔东南州党委、政府，省自然资源厅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5" w:hRule="atLeast"/>
          <w:jc w:val="center"/>
        </w:trPr>
        <w:tc>
          <w:tcPr>
            <w:tcW w:w="2404" w:type="dxa"/>
            <w:vAlign w:val="center"/>
          </w:tcPr>
          <w:p>
            <w:pPr>
              <w:overflowPunct w:val="0"/>
              <w:topLinePunct/>
              <w:jc w:val="center"/>
              <w:rPr>
                <w:rFonts w:eastAsia="楷体_GB2312"/>
                <w:kern w:val="0"/>
                <w:sz w:val="30"/>
                <w:szCs w:val="30"/>
              </w:rPr>
            </w:pPr>
            <w:r>
              <w:rPr>
                <w:rFonts w:eastAsia="楷体_GB2312"/>
                <w:kern w:val="0"/>
                <w:sz w:val="30"/>
                <w:szCs w:val="30"/>
              </w:rPr>
              <w:t>整改目标</w:t>
            </w:r>
          </w:p>
        </w:tc>
        <w:tc>
          <w:tcPr>
            <w:tcW w:w="6343" w:type="dxa"/>
            <w:vAlign w:val="center"/>
          </w:tcPr>
          <w:p>
            <w:pPr>
              <w:overflowPunct w:val="0"/>
              <w:topLinePunct/>
              <w:spacing w:line="380" w:lineRule="exact"/>
              <w:rPr>
                <w:rFonts w:ascii="仿宋_GB2312" w:hAnsi="仿宋_GB2312" w:eastAsia="仿宋_GB2312" w:cs="仿宋_GB2312"/>
                <w:kern w:val="0"/>
                <w:sz w:val="24"/>
              </w:rPr>
            </w:pPr>
            <w:r>
              <w:rPr>
                <w:rFonts w:hint="eastAsia" w:ascii="仿宋_GB2312" w:hAnsi="仿宋_GB2312" w:eastAsia="仿宋_GB2312" w:cs="仿宋_GB2312"/>
                <w:color w:val="000000"/>
                <w:sz w:val="24"/>
              </w:rPr>
              <w:t>规范推进绿色矿山建设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6" w:hRule="atLeast"/>
          <w:jc w:val="center"/>
        </w:trPr>
        <w:tc>
          <w:tcPr>
            <w:tcW w:w="2404" w:type="dxa"/>
            <w:vAlign w:val="center"/>
          </w:tcPr>
          <w:p>
            <w:pPr>
              <w:overflowPunct w:val="0"/>
              <w:topLinePunct/>
              <w:jc w:val="center"/>
              <w:rPr>
                <w:rFonts w:eastAsia="楷体_GB2312"/>
                <w:kern w:val="0"/>
                <w:sz w:val="30"/>
                <w:szCs w:val="30"/>
              </w:rPr>
            </w:pPr>
            <w:r>
              <w:rPr>
                <w:rFonts w:eastAsia="楷体_GB2312"/>
                <w:kern w:val="0"/>
                <w:sz w:val="30"/>
                <w:szCs w:val="30"/>
              </w:rPr>
              <w:t>整改措施</w:t>
            </w:r>
          </w:p>
        </w:tc>
        <w:tc>
          <w:tcPr>
            <w:tcW w:w="6343" w:type="dxa"/>
            <w:vAlign w:val="center"/>
          </w:tcPr>
          <w:p>
            <w:pPr>
              <w:spacing w:line="380" w:lineRule="exact"/>
              <w:rPr>
                <w:rFonts w:ascii="仿宋_GB2312" w:hAnsi="仿宋_GB2312" w:eastAsia="仿宋_GB2312" w:cs="仿宋_GB2312"/>
                <w:sz w:val="24"/>
              </w:rPr>
            </w:pPr>
            <w:r>
              <w:rPr>
                <w:rFonts w:hint="eastAsia" w:ascii="仿宋_GB2312" w:hAnsi="仿宋_GB2312" w:eastAsia="仿宋_GB2312" w:cs="仿宋_GB2312"/>
                <w:sz w:val="24"/>
              </w:rPr>
              <w:t>1.对不符合“近三年未受到行政处罚或处罚已整改到位”“矿区范围未涉及各类自然保护地”先决条件，未取得安全生产许可证、侵占林地、破坏生态、生态修复滞后等突出问题的矿山，取消绿色矿山称号，移除绿色矿山名单。（2022年12月31日前）</w:t>
            </w:r>
          </w:p>
          <w:p>
            <w:pPr>
              <w:spacing w:line="380" w:lineRule="exact"/>
              <w:rPr>
                <w:rFonts w:ascii="仿宋_GB2312" w:hAnsi="仿宋_GB2312" w:eastAsia="仿宋_GB2312" w:cs="仿宋_GB2312"/>
                <w:sz w:val="24"/>
              </w:rPr>
            </w:pPr>
            <w:r>
              <w:rPr>
                <w:rFonts w:hint="eastAsia" w:ascii="仿宋_GB2312" w:hAnsi="仿宋_GB2312" w:eastAsia="仿宋_GB2312" w:cs="仿宋_GB2312"/>
                <w:sz w:val="24"/>
              </w:rPr>
              <w:t>2.举一反三，组织开展绿色矿山建设现场核查，评估建设情况，报审评估报告，根据评估报告，严格对照绿色矿山建设指标，不符合评价指标的，移除绿色矿山名录。（2022年12月31日前）</w:t>
            </w:r>
          </w:p>
          <w:p>
            <w:pPr>
              <w:overflowPunct w:val="0"/>
              <w:topLinePunct/>
              <w:spacing w:line="380" w:lineRule="exact"/>
              <w:rPr>
                <w:rFonts w:ascii="仿宋_GB2312" w:hAnsi="仿宋_GB2312" w:eastAsia="仿宋_GB2312" w:cs="仿宋_GB2312"/>
                <w:sz w:val="24"/>
              </w:rPr>
            </w:pPr>
            <w:r>
              <w:rPr>
                <w:rFonts w:hint="eastAsia" w:ascii="仿宋_GB2312" w:hAnsi="仿宋_GB2312" w:eastAsia="仿宋_GB2312" w:cs="仿宋_GB2312"/>
                <w:sz w:val="24"/>
              </w:rPr>
              <w:t>3.完善绿色矿山建设监督审核指导工作机制，开展业务培训，提升矿政管理人员业务能力，严格审核把关，确保绿色矿山达标建设；加大创建力度，规范推进绿色矿山遴选工作。（立行立改，长期坚持）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9" w:hRule="atLeast"/>
          <w:jc w:val="center"/>
        </w:trPr>
        <w:tc>
          <w:tcPr>
            <w:tcW w:w="2404" w:type="dxa"/>
            <w:vAlign w:val="center"/>
          </w:tcPr>
          <w:p>
            <w:pPr>
              <w:overflowPunct w:val="0"/>
              <w:topLinePunct/>
              <w:jc w:val="center"/>
              <w:rPr>
                <w:rFonts w:eastAsia="楷体_GB2312"/>
                <w:kern w:val="0"/>
                <w:sz w:val="30"/>
                <w:szCs w:val="30"/>
              </w:rPr>
            </w:pPr>
            <w:r>
              <w:rPr>
                <w:rFonts w:eastAsia="楷体_GB2312"/>
                <w:kern w:val="0"/>
                <w:sz w:val="30"/>
                <w:szCs w:val="30"/>
              </w:rPr>
              <w:t>整改</w:t>
            </w:r>
            <w:r>
              <w:rPr>
                <w:rFonts w:hint="eastAsia" w:eastAsia="楷体_GB2312"/>
                <w:kern w:val="0"/>
                <w:sz w:val="30"/>
                <w:szCs w:val="30"/>
              </w:rPr>
              <w:t>主要工作及成效</w:t>
            </w:r>
          </w:p>
        </w:tc>
        <w:tc>
          <w:tcPr>
            <w:tcW w:w="6343" w:type="dxa"/>
            <w:vAlign w:val="center"/>
          </w:tcPr>
          <w:p>
            <w:pPr>
              <w:spacing w:line="380" w:lineRule="exact"/>
              <w:rPr>
                <w:rFonts w:ascii="仿宋_GB2312" w:hAnsi="仿宋_GB2312" w:eastAsia="仿宋_GB2312" w:cs="仿宋_GB2312"/>
                <w:sz w:val="24"/>
              </w:rPr>
            </w:pPr>
            <w:r>
              <w:rPr>
                <w:rFonts w:hint="eastAsia" w:ascii="仿宋_GB2312" w:hAnsi="仿宋_GB2312" w:eastAsia="仿宋_GB2312" w:cs="仿宋_GB2312"/>
                <w:sz w:val="24"/>
              </w:rPr>
              <w:t>1.根据贵阳市、铜仁市和黔东南州自然资源主管部门组织对列入绿色矿山名录的矿山对各类保护地、生态红线等先决条件进行核查，共有5个矿山有重叠情况，4月6日省自然资源厅印发了《关于将修文县谷堡乡长冲大槽铝土矿等矿山移除绿色矿山名录的公告》，对长冲大槽铝土矿山等5个不符合绿色矿山建设标准的移除名录。</w:t>
            </w:r>
          </w:p>
          <w:p>
            <w:pPr>
              <w:spacing w:line="380" w:lineRule="exact"/>
              <w:rPr>
                <w:rFonts w:ascii="仿宋_GB2312" w:hAnsi="仿宋_GB2312" w:eastAsia="仿宋_GB2312" w:cs="仿宋_GB2312"/>
                <w:sz w:val="24"/>
              </w:rPr>
            </w:pPr>
            <w:r>
              <w:rPr>
                <w:rFonts w:hint="eastAsia" w:ascii="仿宋_GB2312" w:hAnsi="仿宋_GB2312" w:eastAsia="仿宋_GB2312" w:cs="仿宋_GB2312"/>
                <w:sz w:val="24"/>
              </w:rPr>
              <w:t>2.３月７日省全面推进绿色矿山建设联席会议办公室印发了《关于开展绿色矿山“回头看”的通知》，组织各市（州）、县级开展绿色矿山对先决条件及7种情形进行全覆盖核查，省级进行抽查。市县和省级核查工作已完成。１０月８日贵州省全面推进绿色矿山建设联席会议制度办公室印发《关于将安顺市西秀区恒瑞建材有限公司砂石矿等移除省级绿色矿山名录的公告》，将不满足绿色矿山建设要求的338座矿山移除绿色矿山名录。</w:t>
            </w:r>
          </w:p>
          <w:p>
            <w:pPr>
              <w:spacing w:line="380" w:lineRule="exact"/>
              <w:rPr>
                <w:rFonts w:ascii="仿宋_GB2312" w:hAnsi="仿宋_GB2312" w:eastAsia="仿宋_GB2312" w:cs="仿宋_GB2312"/>
                <w:sz w:val="24"/>
              </w:rPr>
            </w:pPr>
            <w:r>
              <w:rPr>
                <w:rFonts w:hint="eastAsia" w:ascii="仿宋_GB2312" w:hAnsi="仿宋_GB2312" w:eastAsia="仿宋_GB2312" w:cs="仿宋_GB2312"/>
                <w:sz w:val="24"/>
              </w:rPr>
              <w:t>3.2月18日省自然资源厅印发了《关于绿色矿山建设“回头看”培训会的通知》，对各市（州）自然资源局矿管科室主要负责人进行绿色矿山“回头看”工作培训；2022年9月26日，黔东南州进行了绿色矿山建设培训会视频会。12月16日，铜仁市再次组织各区县矿政管理人员开展业务培训，对绿色矿山创建工作进行专题培训，提升了矿政管理人员水平，为规范推进绿色矿山遴选工作打下了基础。根据１月28日自然资源部印发《关于开展绿色矿山“回头看”的通知》，要求“回头看”完成之前，暂缓各级绿色矿山遴选，４月28日自然资源部矿产资源保护监督司印发《关于延长绿色矿山“回头看”开展时间的通知》，再次要求在部新的关于绿色矿山建设文件出台前，各地务必审慎和暂缓开展各级绿色矿山遴选、发布。待部级文件出台后，再规范推进绿色矿山遴选工作。贵阳市局印发了《贵阳市绿色矿山建设监督审核工作机制》， 2022年12月26日，为规范推进绿色矿山建设，印发了铜仁市绿色矿山建设监督审核工作机制；2022年12月20日，黔东南州自然资源局印发了关于《黔东南州绿色矿山建设监督审核工作机制》的通知。2023年2月20日贵州省全面推进绿色矿山建设联席会议办公室印发了《贵州省绿色矿山建设监督审核工作机制》，推动绿色矿山科学化、制度化和规范化管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100EE"/>
    <w:rsid w:val="05A64918"/>
    <w:rsid w:val="14317139"/>
    <w:rsid w:val="17337FE9"/>
    <w:rsid w:val="23E5604D"/>
    <w:rsid w:val="248B0CA2"/>
    <w:rsid w:val="2BD5197E"/>
    <w:rsid w:val="4EB100EE"/>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2023-03-29T09:07:00Z</dcterms:created>
  <dc:creator>admin</dc:creator>
  <cp:lastModifiedBy>admin</cp:lastModifiedBy>
  <dcterms:modified xsi:type="dcterms:W3CDTF">2023-03-29T09:07:26Z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448A68AF89A346708B671597D88EDFAC</vt:lpwstr>
  </property>
</Properties>
</file>