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rPr>
          <w:rFonts w:ascii="黑体" w:eastAsia="黑体" w:cs="黑体"/>
          <w:sz w:val="32"/>
          <w:szCs w:val="32"/>
        </w:rPr>
      </w:pPr>
      <w:r>
        <w:rPr>
          <w:rFonts w:hint="eastAsia" w:ascii="黑体" w:eastAsia="黑体" w:cs="黑体"/>
          <w:sz w:val="32"/>
          <w:szCs w:val="32"/>
        </w:rPr>
        <w:t>附件2</w:t>
      </w:r>
    </w:p>
    <w:p>
      <w:pPr>
        <w:overflowPunct w:val="0"/>
        <w:topLinePunct/>
        <w:spacing w:line="600" w:lineRule="exact"/>
        <w:jc w:val="center"/>
        <w:rPr>
          <w:rFonts w:eastAsia="方正小标宋简体"/>
          <w:w w:val="95"/>
          <w:sz w:val="44"/>
          <w:szCs w:val="44"/>
        </w:rPr>
      </w:pPr>
      <w:bookmarkStart w:id="0" w:name="_GoBack"/>
      <w:r>
        <w:rPr>
          <w:rFonts w:eastAsia="方正小标宋简体"/>
          <w:w w:val="95"/>
          <w:sz w:val="44"/>
          <w:szCs w:val="44"/>
        </w:rPr>
        <w:t>中央生态环境保护督察</w:t>
      </w:r>
      <w:r>
        <w:rPr>
          <w:rFonts w:hint="eastAsia" w:eastAsia="方正小标宋简体"/>
          <w:w w:val="95"/>
          <w:sz w:val="44"/>
          <w:szCs w:val="44"/>
        </w:rPr>
        <w:t>第四十一项</w:t>
      </w:r>
      <w:r>
        <w:rPr>
          <w:rFonts w:eastAsia="方正小标宋简体"/>
          <w:w w:val="95"/>
          <w:sz w:val="44"/>
          <w:szCs w:val="44"/>
        </w:rPr>
        <w:t>整改任务</w:t>
      </w:r>
    </w:p>
    <w:p>
      <w:pPr>
        <w:overflowPunct w:val="0"/>
        <w:topLinePunct/>
        <w:spacing w:line="600" w:lineRule="exact"/>
        <w:jc w:val="center"/>
        <w:rPr>
          <w:rFonts w:eastAsia="楷体_GB2312"/>
          <w:sz w:val="32"/>
          <w:szCs w:val="32"/>
        </w:rPr>
      </w:pPr>
      <w:r>
        <w:rPr>
          <w:rFonts w:hint="eastAsia" w:eastAsia="方正小标宋简体"/>
          <w:w w:val="95"/>
          <w:sz w:val="44"/>
          <w:szCs w:val="44"/>
        </w:rPr>
        <w:t>完成情况</w:t>
      </w:r>
      <w:r>
        <w:rPr>
          <w:rFonts w:eastAsia="方正小标宋简体"/>
          <w:w w:val="95"/>
          <w:sz w:val="44"/>
          <w:szCs w:val="44"/>
        </w:rPr>
        <w:t>表</w:t>
      </w:r>
    </w:p>
    <w:bookmarkEnd w:id="0"/>
    <w:tbl>
      <w:tblPr>
        <w:tblStyle w:val="3"/>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2261"/>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589" w:hRule="atLeast"/>
          <w:jc w:val="center"/>
        </w:trPr>
        <w:tc>
          <w:tcPr>
            <w:tcW w:w="2261" w:type="dxa"/>
            <w:vAlign w:val="center"/>
          </w:tcPr>
          <w:p>
            <w:pPr>
              <w:overflowPunct w:val="0"/>
              <w:topLinePunct/>
              <w:spacing w:line="380" w:lineRule="exact"/>
              <w:jc w:val="center"/>
              <w:rPr>
                <w:rFonts w:eastAsia="楷体_GB2312"/>
                <w:kern w:val="0"/>
                <w:sz w:val="30"/>
                <w:szCs w:val="30"/>
              </w:rPr>
            </w:pPr>
            <w:r>
              <w:rPr>
                <w:rFonts w:eastAsia="楷体_GB2312"/>
                <w:kern w:val="0"/>
                <w:sz w:val="30"/>
                <w:szCs w:val="30"/>
              </w:rPr>
              <w:t>整改任务</w:t>
            </w:r>
          </w:p>
        </w:tc>
        <w:tc>
          <w:tcPr>
            <w:tcW w:w="5956" w:type="dxa"/>
            <w:vAlign w:val="center"/>
          </w:tcPr>
          <w:p>
            <w:pPr>
              <w:overflowPunct w:val="0"/>
              <w:topLinePunct/>
              <w:spacing w:line="360" w:lineRule="exact"/>
              <w:rPr>
                <w:rFonts w:ascii="仿宋_GB2312" w:eastAsia="仿宋_GB2312"/>
                <w:kern w:val="0"/>
                <w:sz w:val="24"/>
              </w:rPr>
            </w:pPr>
            <w:r>
              <w:rPr>
                <w:rFonts w:hint="eastAsia" w:ascii="仿宋_GB2312" w:eastAsia="仿宋_GB2312"/>
                <w:color w:val="000000"/>
                <w:sz w:val="24"/>
              </w:rPr>
              <w:t>《贵州省中央生态环境保护督察整改任务清单》第四十一项整改任务：遵义市部分矿山生态修复工作打折扣，开采平台基本未覆土植绿，未严格落实“边开采、边治理、边修复”要求。习水县二郎鸿坤建材厂、新蒲新区石龙采石场等只开采不治理，严重破坏山林植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2" w:hRule="atLeast"/>
          <w:jc w:val="center"/>
        </w:trPr>
        <w:tc>
          <w:tcPr>
            <w:tcW w:w="2261" w:type="dxa"/>
            <w:vAlign w:val="center"/>
          </w:tcPr>
          <w:p>
            <w:pPr>
              <w:overflowPunct w:val="0"/>
              <w:topLinePunct/>
              <w:spacing w:line="380" w:lineRule="exact"/>
              <w:jc w:val="center"/>
              <w:rPr>
                <w:rFonts w:eastAsia="楷体_GB2312"/>
                <w:kern w:val="0"/>
                <w:sz w:val="30"/>
                <w:szCs w:val="30"/>
              </w:rPr>
            </w:pPr>
            <w:r>
              <w:rPr>
                <w:rFonts w:eastAsia="楷体_GB2312"/>
                <w:kern w:val="0"/>
                <w:sz w:val="30"/>
                <w:szCs w:val="30"/>
              </w:rPr>
              <w:t>整改责任单位</w:t>
            </w:r>
          </w:p>
        </w:tc>
        <w:tc>
          <w:tcPr>
            <w:tcW w:w="5956" w:type="dxa"/>
            <w:vAlign w:val="center"/>
          </w:tcPr>
          <w:p>
            <w:pPr>
              <w:overflowPunct w:val="0"/>
              <w:topLinePunct/>
              <w:spacing w:line="360" w:lineRule="exact"/>
              <w:rPr>
                <w:rFonts w:ascii="仿宋_GB2312" w:eastAsia="仿宋_GB2312"/>
                <w:kern w:val="0"/>
                <w:sz w:val="24"/>
              </w:rPr>
            </w:pPr>
            <w:r>
              <w:rPr>
                <w:rFonts w:hint="eastAsia" w:ascii="仿宋_GB2312" w:eastAsia="仿宋_GB2312"/>
                <w:color w:val="000000"/>
                <w:sz w:val="24"/>
              </w:rPr>
              <w:t>遵义市委、市政府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22" w:hRule="atLeast"/>
          <w:jc w:val="center"/>
        </w:trPr>
        <w:tc>
          <w:tcPr>
            <w:tcW w:w="2261" w:type="dxa"/>
            <w:vAlign w:val="center"/>
          </w:tcPr>
          <w:p>
            <w:pPr>
              <w:overflowPunct w:val="0"/>
              <w:topLinePunct/>
              <w:spacing w:line="380" w:lineRule="exact"/>
              <w:jc w:val="center"/>
              <w:rPr>
                <w:rFonts w:eastAsia="楷体_GB2312"/>
                <w:kern w:val="0"/>
                <w:sz w:val="30"/>
                <w:szCs w:val="30"/>
              </w:rPr>
            </w:pPr>
            <w:r>
              <w:rPr>
                <w:rFonts w:eastAsia="楷体_GB2312"/>
                <w:kern w:val="0"/>
                <w:sz w:val="30"/>
                <w:szCs w:val="30"/>
              </w:rPr>
              <w:t>整改目标</w:t>
            </w:r>
          </w:p>
        </w:tc>
        <w:tc>
          <w:tcPr>
            <w:tcW w:w="5956" w:type="dxa"/>
            <w:vAlign w:val="center"/>
          </w:tcPr>
          <w:p>
            <w:pPr>
              <w:overflowPunct w:val="0"/>
              <w:topLinePunct/>
              <w:spacing w:line="360" w:lineRule="exact"/>
              <w:rPr>
                <w:rFonts w:ascii="仿宋_GB2312" w:eastAsia="仿宋_GB2312"/>
                <w:kern w:val="0"/>
                <w:sz w:val="24"/>
              </w:rPr>
            </w:pPr>
            <w:r>
              <w:rPr>
                <w:rFonts w:hint="eastAsia" w:ascii="仿宋_GB2312" w:eastAsia="仿宋_GB2312"/>
                <w:color w:val="000000"/>
                <w:sz w:val="24"/>
              </w:rPr>
              <w:t>按照“边开采、边治理、边修复”要求，严格开展矿山生态修复。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72" w:hRule="atLeast"/>
          <w:jc w:val="center"/>
        </w:trPr>
        <w:tc>
          <w:tcPr>
            <w:tcW w:w="2261" w:type="dxa"/>
            <w:vAlign w:val="center"/>
          </w:tcPr>
          <w:p>
            <w:pPr>
              <w:overflowPunct w:val="0"/>
              <w:topLinePunct/>
              <w:spacing w:line="380" w:lineRule="exact"/>
              <w:jc w:val="center"/>
              <w:rPr>
                <w:rFonts w:eastAsia="楷体_GB2312"/>
                <w:kern w:val="0"/>
                <w:sz w:val="30"/>
                <w:szCs w:val="30"/>
              </w:rPr>
            </w:pPr>
            <w:r>
              <w:rPr>
                <w:rFonts w:eastAsia="楷体_GB2312"/>
                <w:kern w:val="0"/>
                <w:sz w:val="30"/>
                <w:szCs w:val="30"/>
              </w:rPr>
              <w:t>整改措施</w:t>
            </w:r>
          </w:p>
        </w:tc>
        <w:tc>
          <w:tcPr>
            <w:tcW w:w="5956" w:type="dxa"/>
            <w:vAlign w:val="center"/>
          </w:tcPr>
          <w:p>
            <w:pPr>
              <w:overflowPunct w:val="0"/>
              <w:topLinePunct/>
              <w:spacing w:line="360" w:lineRule="exact"/>
              <w:rPr>
                <w:rFonts w:ascii="仿宋_GB2312" w:eastAsia="仿宋_GB2312"/>
                <w:color w:val="000000"/>
                <w:sz w:val="24"/>
              </w:rPr>
            </w:pPr>
            <w:r>
              <w:rPr>
                <w:rFonts w:hint="eastAsia" w:ascii="仿宋_GB2312" w:eastAsia="仿宋_GB2312"/>
                <w:color w:val="000000"/>
                <w:sz w:val="24"/>
              </w:rPr>
              <w:t>1.习水县二郎鸿坤建材厂、新蒲新区石龙采石场对已开采完毕区域进行生态修复。</w:t>
            </w:r>
          </w:p>
          <w:p>
            <w:pPr>
              <w:overflowPunct w:val="0"/>
              <w:topLinePunct/>
              <w:spacing w:line="360" w:lineRule="exact"/>
              <w:rPr>
                <w:rFonts w:ascii="仿宋_GB2312" w:eastAsia="仿宋_GB2312"/>
                <w:color w:val="000000"/>
                <w:sz w:val="24"/>
              </w:rPr>
            </w:pPr>
            <w:r>
              <w:rPr>
                <w:rFonts w:hint="eastAsia" w:ascii="仿宋_GB2312" w:eastAsia="仿宋_GB2312"/>
                <w:color w:val="000000"/>
                <w:sz w:val="24"/>
              </w:rPr>
              <w:t>2.举一反三，对全市矿山企业落实“边开采、边治理、边修复”情况开展全面排查，建立问题台账并实施整改。</w:t>
            </w:r>
          </w:p>
          <w:p>
            <w:pPr>
              <w:overflowPunct w:val="0"/>
              <w:topLinePunct/>
              <w:spacing w:line="360" w:lineRule="exact"/>
              <w:rPr>
                <w:rFonts w:ascii="仿宋_GB2312" w:eastAsia="仿宋_GB2312"/>
                <w:color w:val="000000"/>
                <w:sz w:val="24"/>
              </w:rPr>
            </w:pPr>
            <w:r>
              <w:rPr>
                <w:rFonts w:hint="eastAsia" w:ascii="仿宋_GB2312" w:eastAsia="仿宋_GB2312"/>
                <w:color w:val="000000"/>
                <w:sz w:val="24"/>
              </w:rPr>
              <w:t>3.对习水县二郎鸿坤建材厂、新蒲新区石龙采石场只开采不治理行为进行调查处理。</w:t>
            </w:r>
          </w:p>
          <w:p>
            <w:pPr>
              <w:overflowPunct w:val="0"/>
              <w:topLinePunct/>
              <w:spacing w:line="360" w:lineRule="exact"/>
              <w:rPr>
                <w:rFonts w:ascii="仿宋_GB2312" w:eastAsia="仿宋_GB2312"/>
                <w:sz w:val="24"/>
              </w:rPr>
            </w:pPr>
            <w:r>
              <w:rPr>
                <w:rFonts w:hint="eastAsia" w:ascii="仿宋_GB2312" w:eastAsia="仿宋_GB2312"/>
                <w:color w:val="000000"/>
                <w:sz w:val="24"/>
              </w:rPr>
              <w:t>4.加强执法监管，严厉打击只开采不治理、破坏生态违法行为。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581" w:hRule="atLeast"/>
          <w:jc w:val="center"/>
        </w:trPr>
        <w:tc>
          <w:tcPr>
            <w:tcW w:w="2261" w:type="dxa"/>
            <w:vAlign w:val="center"/>
          </w:tcPr>
          <w:p>
            <w:pPr>
              <w:overflowPunct w:val="0"/>
              <w:topLinePunct/>
              <w:spacing w:line="380" w:lineRule="exact"/>
              <w:jc w:val="center"/>
              <w:rPr>
                <w:rFonts w:eastAsia="楷体_GB2312"/>
                <w:kern w:val="0"/>
                <w:sz w:val="30"/>
                <w:szCs w:val="30"/>
              </w:rPr>
            </w:pPr>
            <w:r>
              <w:rPr>
                <w:rFonts w:eastAsia="楷体_GB2312"/>
                <w:kern w:val="0"/>
                <w:sz w:val="30"/>
                <w:szCs w:val="30"/>
              </w:rPr>
              <w:t>整改</w:t>
            </w:r>
            <w:r>
              <w:rPr>
                <w:rFonts w:hint="eastAsia" w:eastAsia="楷体_GB2312"/>
                <w:kern w:val="0"/>
                <w:sz w:val="30"/>
                <w:szCs w:val="30"/>
              </w:rPr>
              <w:t>主要工作及成效</w:t>
            </w:r>
          </w:p>
        </w:tc>
        <w:tc>
          <w:tcPr>
            <w:tcW w:w="5956" w:type="dxa"/>
            <w:vAlign w:val="center"/>
          </w:tcPr>
          <w:p>
            <w:pPr>
              <w:overflowPunct w:val="0"/>
              <w:topLinePunct/>
              <w:spacing w:line="360" w:lineRule="exact"/>
              <w:rPr>
                <w:rFonts w:ascii="仿宋_GB2312" w:eastAsia="仿宋_GB2312"/>
                <w:kern w:val="0"/>
                <w:sz w:val="24"/>
              </w:rPr>
            </w:pPr>
            <w:r>
              <w:rPr>
                <w:rFonts w:hint="eastAsia" w:ascii="仿宋_GB2312" w:eastAsia="仿宋_GB2312"/>
                <w:kern w:val="0"/>
                <w:sz w:val="24"/>
              </w:rPr>
              <w:t>1.2022年6月24日、11月15-16日、12月8日，省自然资源厅组织对遵义市习水县二郎鸿坤建材厂、新蒲新区石龙采石场开展了现场督促指导工作。习水县已根据方案完成生态修复工作并组织通过专家验收；新蒲新区石龙采石场生态修复工程已于2021年12月28日通过验收，2022年4月5日新蒲新区再次对局部修复不到位的地方进一步实施生态修复并已组织专家验收。2022年12月8日，省自然资源厅再次组织专家赴习水县、新浦新区现场开展验收销号工作核实。</w:t>
            </w:r>
          </w:p>
          <w:p>
            <w:pPr>
              <w:overflowPunct w:val="0"/>
              <w:topLinePunct/>
              <w:spacing w:line="360" w:lineRule="exact"/>
              <w:rPr>
                <w:rFonts w:ascii="仿宋_GB2312" w:eastAsia="仿宋_GB2312"/>
                <w:kern w:val="0"/>
                <w:sz w:val="24"/>
              </w:rPr>
            </w:pPr>
            <w:r>
              <w:rPr>
                <w:rFonts w:hint="eastAsia" w:ascii="仿宋_GB2312" w:eastAsia="仿宋_GB2312"/>
                <w:kern w:val="0"/>
                <w:sz w:val="24"/>
              </w:rPr>
              <w:t>2.2022年7月5日，省自然资源厅下发《关于加强矿山地质环境治理恢复的函》，要求遵义市自然资源部门加强全市矿山企业监管，落实“边开采、边治理、边修复”。11月14日，组织人员赴遵义市自然资源局召开座谈会，听取遵义市开展举一反三排查情况汇报及查看相关资料，并进行督促指导。2023年1月31日-2月1日，省自然资源厅再次组织人员赴遵义市对排查结果开展现场抽查，确保整改落到实处。经核实，遵义市已完成全市矿山“边生产、边治理、边修复”全覆盖排查，建立问题清单台账，各县（市、区）根据问题清单制定了整改方案，并于2022年12月15日前报告了问题矿山已全部进场施工。遵义市实地抽查复核了部分矿山，通过复核，二郎镇鸿坤建材厂、新蒲新区石龙采石场均已修复治理完毕，其余复核的矿山均对矿山不再开采的部分区域正在实施修复，符合进场实施整改的要求，后续将加强跟踪督导，确保治理修复达到要求。</w:t>
            </w:r>
          </w:p>
          <w:p>
            <w:pPr>
              <w:overflowPunct w:val="0"/>
              <w:topLinePunct/>
              <w:spacing w:line="360" w:lineRule="exact"/>
              <w:rPr>
                <w:rFonts w:ascii="仿宋_GB2312" w:eastAsia="仿宋_GB2312"/>
                <w:kern w:val="0"/>
                <w:sz w:val="24"/>
              </w:rPr>
            </w:pPr>
            <w:r>
              <w:rPr>
                <w:rFonts w:hint="eastAsia" w:ascii="仿宋_GB2312" w:eastAsia="仿宋_GB2312"/>
                <w:kern w:val="0"/>
                <w:sz w:val="24"/>
              </w:rPr>
              <w:t>3.2022年7月5日，省自然资源厅下发《关于加强矿山地质环境治理恢复的函》，要求遵义市自然资源部门立即组织对习水县二郎鸿坤建材厂、新蒲新区石龙采石场只开采不治理行为进行调查处理。截至目前，一是习水县二郎村委会在习水县鸿坤建材厂开采场地内打造庆丰小镇，因破坏林地，习水县综合行政执法局已对其立案调查，并处处罚61364元，因涉及村委会无信用代码原因，不能录进系统进行信息公示。二是新蒲新区对石龙采石场只开采不治理的行为开展调查，该矿于2021年已开展生态修复工作，并于2022年再次对局部修复不到位的地方进行补充修复治理，目前已完成恢复治理工作。新蒲新区管委会组召开专题会议，依据《贵州省地质环境管理条例》第三十八条“违反本条例不履行矿山地质环境治理和恢复义务，尚不构成犯罪的，责令限期改正”，认为原矿山业主非主观因素造成“只开采不治理”且未对周边生态及群众生活环境造成严重破坏、影响，决定对其不予立案查处。</w:t>
            </w:r>
          </w:p>
          <w:p>
            <w:pPr>
              <w:overflowPunct w:val="0"/>
              <w:topLinePunct/>
              <w:spacing w:line="360" w:lineRule="exact"/>
              <w:rPr>
                <w:rFonts w:ascii="仿宋_GB2312" w:eastAsia="仿宋_GB2312"/>
                <w:sz w:val="24"/>
              </w:rPr>
            </w:pPr>
            <w:r>
              <w:rPr>
                <w:rFonts w:hint="eastAsia" w:ascii="仿宋_GB2312" w:eastAsia="仿宋_GB2312"/>
                <w:kern w:val="0"/>
                <w:sz w:val="24"/>
              </w:rPr>
              <w:t>4.省自然资源厅联合矿山安监局贵州局、省应急管理厅、省能源局下发《关于转发&lt;国务院安委会办公室关于严厉打击盗采矿产资源违法活动和矿山严重违法违规生产建设行为的通知&gt;的通知》，严厉打击矿产资源违法违规行为，印发《省自然资源厅关于进一步严厉打击自然资源违法违规行为的工作提示》、《省自然资源厅关于开展盗采矿产资源专项打击行动的通知》，突出抓好打击矿产资源违法问题。遵义市自然资源局出台《关于进一步规范矿产资源管理、加强生态环境保护的通知》，加强矿山执法监管，严厉打击只开采不治理、破坏生态违法行为。2022年，严厉打击矿产资源领域私挖滥采、越界开采、只开采不治理、破坏生态等违法违规行为，共巡查发现涉嫌违法线索40条，均已移交执法部门核实调查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670A5"/>
    <w:rsid w:val="05A64918"/>
    <w:rsid w:val="14317139"/>
    <w:rsid w:val="17337FE9"/>
    <w:rsid w:val="23E5604D"/>
    <w:rsid w:val="248B0CA2"/>
    <w:rsid w:val="2BD5197E"/>
    <w:rsid w:val="38D670A5"/>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2023-03-29T09:06:00Z</dcterms:created>
  <dc:creator>admin</dc:creator>
  <cp:lastModifiedBy>admin</cp:lastModifiedBy>
  <dcterms:modified xsi:type="dcterms:W3CDTF">2023-03-29T09:07:00Z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C7D66B04E70D44DC99476A55B55F9420</vt:lpwstr>
  </property>
</Properties>
</file>