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rPr>
          <w:rFonts w:ascii="黑体" w:eastAsia="黑体" w:cs="黑体"/>
          <w:sz w:val="32"/>
          <w:szCs w:val="32"/>
        </w:rPr>
      </w:pPr>
      <w:r>
        <w:rPr>
          <w:rFonts w:hint="eastAsia" w:ascii="黑体" w:eastAsia="黑体" w:cs="黑体"/>
          <w:sz w:val="32"/>
          <w:szCs w:val="32"/>
        </w:rPr>
        <w:t>附件1</w:t>
      </w:r>
    </w:p>
    <w:p>
      <w:pPr>
        <w:overflowPunct w:val="0"/>
        <w:topLinePunct/>
        <w:spacing w:line="600" w:lineRule="exact"/>
        <w:jc w:val="center"/>
        <w:rPr>
          <w:rFonts w:eastAsia="方正小标宋简体"/>
          <w:w w:val="95"/>
          <w:sz w:val="44"/>
          <w:szCs w:val="44"/>
        </w:rPr>
      </w:pPr>
      <w:bookmarkStart w:id="0" w:name="_GoBack"/>
      <w:r>
        <w:rPr>
          <w:rFonts w:eastAsia="方正小标宋简体"/>
          <w:w w:val="95"/>
          <w:sz w:val="44"/>
          <w:szCs w:val="44"/>
        </w:rPr>
        <w:t>中央生态环境保护督察</w:t>
      </w:r>
      <w:r>
        <w:rPr>
          <w:rFonts w:hint="eastAsia" w:eastAsia="方正小标宋简体"/>
          <w:w w:val="95"/>
          <w:sz w:val="44"/>
          <w:szCs w:val="44"/>
        </w:rPr>
        <w:t>第十六项</w:t>
      </w:r>
      <w:r>
        <w:rPr>
          <w:rFonts w:eastAsia="方正小标宋简体"/>
          <w:w w:val="95"/>
          <w:sz w:val="44"/>
          <w:szCs w:val="44"/>
        </w:rPr>
        <w:t>整改任务</w:t>
      </w:r>
    </w:p>
    <w:p>
      <w:pPr>
        <w:overflowPunct w:val="0"/>
        <w:topLinePunct/>
        <w:spacing w:line="600" w:lineRule="exact"/>
        <w:jc w:val="center"/>
        <w:rPr>
          <w:rFonts w:eastAsia="楷体_GB2312"/>
          <w:sz w:val="32"/>
          <w:szCs w:val="32"/>
        </w:rPr>
      </w:pPr>
      <w:r>
        <w:rPr>
          <w:rFonts w:hint="eastAsia" w:eastAsia="方正小标宋简体"/>
          <w:w w:val="95"/>
          <w:sz w:val="44"/>
          <w:szCs w:val="44"/>
        </w:rPr>
        <w:t>完成情况</w:t>
      </w:r>
      <w:r>
        <w:rPr>
          <w:rFonts w:eastAsia="方正小标宋简体"/>
          <w:w w:val="95"/>
          <w:sz w:val="44"/>
          <w:szCs w:val="44"/>
        </w:rPr>
        <w:t>表</w:t>
      </w:r>
    </w:p>
    <w:bookmarkEnd w:id="0"/>
    <w:tbl>
      <w:tblPr>
        <w:tblStyle w:val="3"/>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2258"/>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976" w:hRule="atLeast"/>
          <w:jc w:val="center"/>
        </w:trPr>
        <w:tc>
          <w:tcPr>
            <w:tcW w:w="2258" w:type="dxa"/>
            <w:vAlign w:val="center"/>
          </w:tcPr>
          <w:p>
            <w:pPr>
              <w:overflowPunct w:val="0"/>
              <w:topLinePunct/>
              <w:spacing w:line="500" w:lineRule="exact"/>
              <w:jc w:val="center"/>
              <w:rPr>
                <w:rFonts w:eastAsia="楷体_GB2312"/>
                <w:kern w:val="0"/>
                <w:sz w:val="30"/>
                <w:szCs w:val="30"/>
              </w:rPr>
            </w:pPr>
            <w:r>
              <w:rPr>
                <w:rFonts w:eastAsia="楷体_GB2312"/>
                <w:kern w:val="0"/>
                <w:sz w:val="30"/>
                <w:szCs w:val="30"/>
              </w:rPr>
              <w:t>整改任务</w:t>
            </w:r>
          </w:p>
        </w:tc>
        <w:tc>
          <w:tcPr>
            <w:tcW w:w="5959" w:type="dxa"/>
            <w:vAlign w:val="center"/>
          </w:tcPr>
          <w:p>
            <w:pPr>
              <w:overflowPunct w:val="0"/>
              <w:topLinePunct/>
              <w:spacing w:line="400" w:lineRule="exact"/>
              <w:rPr>
                <w:rFonts w:ascii="仿宋_GB2312" w:eastAsia="仿宋_GB2312"/>
                <w:kern w:val="0"/>
                <w:sz w:val="28"/>
                <w:szCs w:val="30"/>
              </w:rPr>
            </w:pPr>
            <w:r>
              <w:rPr>
                <w:rFonts w:hint="eastAsia" w:ascii="仿宋_GB2312" w:hAnsi="方正仿宋_GBK" w:eastAsia="仿宋_GB2312" w:cs="方正仿宋_GBK"/>
                <w:kern w:val="0"/>
                <w:sz w:val="28"/>
                <w:szCs w:val="32"/>
              </w:rPr>
              <w:t>《贵州省中央生态环境保护督察整改任务清单》第十六项整改任务：本轮督察期间，群众投诉安顺市西秀区虹山湖温泉酒店项目违规开发，地方上报项目手续齐全。但督察发现，地方调查不严不实，回避温泉项目需取得地热资源采矿许可证的要求，认为取得取水许可证即手续齐全，致使该项目在未取得采矿权的情况下，长期非法开采和盗用地热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4" w:hRule="atLeast"/>
          <w:jc w:val="center"/>
        </w:trPr>
        <w:tc>
          <w:tcPr>
            <w:tcW w:w="2258" w:type="dxa"/>
            <w:vAlign w:val="center"/>
          </w:tcPr>
          <w:p>
            <w:pPr>
              <w:overflowPunct w:val="0"/>
              <w:topLinePunct/>
              <w:spacing w:line="500" w:lineRule="exact"/>
              <w:jc w:val="center"/>
              <w:rPr>
                <w:rFonts w:eastAsia="楷体_GB2312"/>
                <w:kern w:val="0"/>
                <w:sz w:val="30"/>
                <w:szCs w:val="30"/>
              </w:rPr>
            </w:pPr>
            <w:r>
              <w:rPr>
                <w:rFonts w:eastAsia="楷体_GB2312"/>
                <w:kern w:val="0"/>
                <w:sz w:val="30"/>
                <w:szCs w:val="30"/>
              </w:rPr>
              <w:t>整改责任单位</w:t>
            </w:r>
          </w:p>
        </w:tc>
        <w:tc>
          <w:tcPr>
            <w:tcW w:w="5959" w:type="dxa"/>
            <w:vAlign w:val="center"/>
          </w:tcPr>
          <w:p>
            <w:pPr>
              <w:overflowPunct w:val="0"/>
              <w:topLinePunct/>
              <w:spacing w:line="400" w:lineRule="exact"/>
              <w:rPr>
                <w:rFonts w:ascii="仿宋_GB2312" w:eastAsia="仿宋_GB2312"/>
                <w:kern w:val="0"/>
                <w:sz w:val="28"/>
                <w:szCs w:val="30"/>
              </w:rPr>
            </w:pPr>
            <w:r>
              <w:rPr>
                <w:rFonts w:hint="eastAsia" w:ascii="仿宋_GB2312" w:hAnsi="方正仿宋_GBK" w:eastAsia="仿宋_GB2312" w:cs="方正仿宋_GBK"/>
                <w:kern w:val="0"/>
                <w:sz w:val="28"/>
                <w:szCs w:val="32"/>
              </w:rPr>
              <w:t>安顺市委、市政府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22" w:hRule="atLeast"/>
          <w:jc w:val="center"/>
        </w:trPr>
        <w:tc>
          <w:tcPr>
            <w:tcW w:w="2258" w:type="dxa"/>
            <w:vAlign w:val="center"/>
          </w:tcPr>
          <w:p>
            <w:pPr>
              <w:overflowPunct w:val="0"/>
              <w:topLinePunct/>
              <w:spacing w:line="500" w:lineRule="exact"/>
              <w:jc w:val="center"/>
              <w:rPr>
                <w:rFonts w:eastAsia="楷体_GB2312"/>
                <w:kern w:val="0"/>
                <w:sz w:val="30"/>
                <w:szCs w:val="30"/>
              </w:rPr>
            </w:pPr>
            <w:r>
              <w:rPr>
                <w:rFonts w:eastAsia="楷体_GB2312"/>
                <w:kern w:val="0"/>
                <w:sz w:val="30"/>
                <w:szCs w:val="30"/>
              </w:rPr>
              <w:t>整改目标</w:t>
            </w:r>
          </w:p>
        </w:tc>
        <w:tc>
          <w:tcPr>
            <w:tcW w:w="5959" w:type="dxa"/>
            <w:vAlign w:val="center"/>
          </w:tcPr>
          <w:p>
            <w:pPr>
              <w:overflowPunct w:val="0"/>
              <w:topLinePunct/>
              <w:spacing w:line="400" w:lineRule="exact"/>
              <w:rPr>
                <w:rFonts w:ascii="仿宋_GB2312" w:eastAsia="仿宋_GB2312"/>
                <w:kern w:val="0"/>
                <w:sz w:val="28"/>
                <w:szCs w:val="30"/>
              </w:rPr>
            </w:pPr>
            <w:r>
              <w:rPr>
                <w:rFonts w:hint="eastAsia" w:ascii="仿宋_GB2312" w:hAnsi="方正仿宋_GBK" w:eastAsia="仿宋_GB2312" w:cs="方正仿宋_GBK"/>
                <w:kern w:val="0"/>
                <w:sz w:val="28"/>
                <w:szCs w:val="32"/>
              </w:rPr>
              <w:t>整改虹山湖温泉酒店违规开发行为，规范开采地热资源。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72" w:hRule="atLeast"/>
          <w:jc w:val="center"/>
        </w:trPr>
        <w:tc>
          <w:tcPr>
            <w:tcW w:w="2258" w:type="dxa"/>
            <w:vAlign w:val="center"/>
          </w:tcPr>
          <w:p>
            <w:pPr>
              <w:overflowPunct w:val="0"/>
              <w:topLinePunct/>
              <w:spacing w:line="500" w:lineRule="exact"/>
              <w:jc w:val="center"/>
              <w:rPr>
                <w:rFonts w:eastAsia="楷体_GB2312"/>
                <w:kern w:val="0"/>
                <w:sz w:val="30"/>
                <w:szCs w:val="30"/>
              </w:rPr>
            </w:pPr>
            <w:r>
              <w:rPr>
                <w:rFonts w:eastAsia="楷体_GB2312"/>
                <w:kern w:val="0"/>
                <w:sz w:val="30"/>
                <w:szCs w:val="30"/>
              </w:rPr>
              <w:t>整改措施</w:t>
            </w:r>
          </w:p>
        </w:tc>
        <w:tc>
          <w:tcPr>
            <w:tcW w:w="5959" w:type="dxa"/>
            <w:vAlign w:val="center"/>
          </w:tcPr>
          <w:p>
            <w:pPr>
              <w:overflowPunct w:val="0"/>
              <w:topLinePunct/>
              <w:spacing w:line="400" w:lineRule="exact"/>
              <w:rPr>
                <w:rFonts w:ascii="仿宋_GB2312" w:hAnsi="方正仿宋_GBK" w:eastAsia="仿宋_GB2312" w:cs="方正仿宋_GBK"/>
                <w:kern w:val="0"/>
                <w:sz w:val="28"/>
                <w:szCs w:val="32"/>
              </w:rPr>
            </w:pPr>
            <w:r>
              <w:rPr>
                <w:rFonts w:hint="eastAsia" w:ascii="仿宋_GB2312" w:hAnsi="方正仿宋_GBK" w:eastAsia="仿宋_GB2312" w:cs="方正仿宋_GBK"/>
                <w:kern w:val="0"/>
                <w:sz w:val="28"/>
                <w:szCs w:val="32"/>
              </w:rPr>
              <w:t>1.对企业非法开采和盗用地热资源行为进行立案查处。</w:t>
            </w:r>
          </w:p>
          <w:p>
            <w:pPr>
              <w:overflowPunct w:val="0"/>
              <w:topLinePunct/>
              <w:spacing w:line="400" w:lineRule="exact"/>
              <w:rPr>
                <w:rFonts w:ascii="仿宋_GB2312" w:hAnsi="方正仿宋_GBK" w:eastAsia="仿宋_GB2312" w:cs="方正仿宋_GBK"/>
                <w:kern w:val="0"/>
                <w:sz w:val="28"/>
                <w:szCs w:val="32"/>
              </w:rPr>
            </w:pPr>
            <w:r>
              <w:rPr>
                <w:rFonts w:hint="eastAsia" w:ascii="仿宋_GB2312" w:hAnsi="方正仿宋_GBK" w:eastAsia="仿宋_GB2312" w:cs="方正仿宋_GBK"/>
                <w:kern w:val="0"/>
                <w:sz w:val="28"/>
                <w:szCs w:val="32"/>
              </w:rPr>
              <w:t>2.企业未依法取得地热资源采矿许可证之前，不得进行采矿活动。</w:t>
            </w:r>
          </w:p>
          <w:p>
            <w:pPr>
              <w:overflowPunct w:val="0"/>
              <w:topLinePunct/>
              <w:spacing w:line="400" w:lineRule="exact"/>
              <w:rPr>
                <w:rFonts w:ascii="仿宋_GB2312" w:eastAsia="仿宋_GB2312"/>
                <w:sz w:val="28"/>
              </w:rPr>
            </w:pPr>
            <w:r>
              <w:rPr>
                <w:rFonts w:hint="eastAsia" w:ascii="仿宋_GB2312" w:hAnsi="方正仿宋_GBK" w:eastAsia="仿宋_GB2312" w:cs="方正仿宋_GBK"/>
                <w:kern w:val="0"/>
                <w:sz w:val="28"/>
                <w:szCs w:val="32"/>
              </w:rPr>
              <w:t>3.对安顺市取用地热资源企业进行“举一反三”全面排查，建立地热资源问题台账推动整改。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74" w:hRule="atLeast"/>
          <w:jc w:val="center"/>
        </w:trPr>
        <w:tc>
          <w:tcPr>
            <w:tcW w:w="2258" w:type="dxa"/>
            <w:vAlign w:val="center"/>
          </w:tcPr>
          <w:p>
            <w:pPr>
              <w:overflowPunct w:val="0"/>
              <w:topLinePunct/>
              <w:spacing w:line="500" w:lineRule="exact"/>
              <w:jc w:val="center"/>
              <w:rPr>
                <w:rFonts w:eastAsia="楷体_GB2312"/>
                <w:kern w:val="0"/>
                <w:sz w:val="30"/>
                <w:szCs w:val="30"/>
              </w:rPr>
            </w:pPr>
            <w:r>
              <w:rPr>
                <w:rFonts w:eastAsia="楷体_GB2312"/>
                <w:kern w:val="0"/>
                <w:sz w:val="30"/>
                <w:szCs w:val="30"/>
              </w:rPr>
              <w:t>整改</w:t>
            </w:r>
            <w:r>
              <w:rPr>
                <w:rFonts w:hint="eastAsia" w:eastAsia="楷体_GB2312"/>
                <w:kern w:val="0"/>
                <w:sz w:val="30"/>
                <w:szCs w:val="30"/>
              </w:rPr>
              <w:t>主要工作及成效</w:t>
            </w:r>
          </w:p>
        </w:tc>
        <w:tc>
          <w:tcPr>
            <w:tcW w:w="5959" w:type="dxa"/>
            <w:vAlign w:val="center"/>
          </w:tcPr>
          <w:p>
            <w:pPr>
              <w:overflowPunct w:val="0"/>
              <w:topLinePunct/>
              <w:spacing w:line="400" w:lineRule="exact"/>
              <w:rPr>
                <w:rFonts w:ascii="仿宋_GB2312" w:hAnsi="方正仿宋_GBK" w:eastAsia="仿宋_GB2312" w:cs="方正仿宋_GBK"/>
                <w:sz w:val="28"/>
                <w:szCs w:val="32"/>
              </w:rPr>
            </w:pPr>
            <w:r>
              <w:rPr>
                <w:rFonts w:hint="eastAsia" w:ascii="仿宋_GB2312" w:hAnsi="方正仿宋_GBK" w:eastAsia="仿宋_GB2312" w:cs="方正仿宋_GBK"/>
                <w:sz w:val="28"/>
                <w:szCs w:val="32"/>
              </w:rPr>
              <w:t>1.安顺市西秀区自然资源局于2022年2月9日对贵州灵泉康养有限公司非法开采地热资源立案调查，于2022年4月7日下达《行政处罚决定书》。2022年4月8日贵州灵泉康养有限公司履行行政处罚决定，该案查处结案。</w:t>
            </w:r>
          </w:p>
          <w:p>
            <w:pPr>
              <w:pStyle w:val="2"/>
              <w:keepNext w:val="0"/>
              <w:keepLines w:val="0"/>
              <w:spacing w:before="0" w:after="0" w:line="400" w:lineRule="exact"/>
              <w:rPr>
                <w:rFonts w:ascii="仿宋_GB2312" w:hAnsi="方正仿宋_GBK" w:eastAsia="仿宋_GB2312" w:cs="方正仿宋_GBK"/>
                <w:b w:val="0"/>
                <w:bCs w:val="0"/>
                <w:sz w:val="28"/>
              </w:rPr>
            </w:pPr>
            <w:r>
              <w:rPr>
                <w:rFonts w:hint="eastAsia" w:ascii="仿宋_GB2312" w:hAnsi="方正仿宋_GBK" w:eastAsia="仿宋_GB2312" w:cs="方正仿宋_GBK"/>
                <w:b w:val="0"/>
                <w:bCs w:val="0"/>
                <w:sz w:val="28"/>
              </w:rPr>
              <w:t>2.2022年10月贵州灵泉康养有限公司依法取得安顺市西秀区虹山地热采矿许可证。</w:t>
            </w:r>
          </w:p>
          <w:p>
            <w:pPr>
              <w:pStyle w:val="2"/>
              <w:keepNext w:val="0"/>
              <w:keepLines w:val="0"/>
              <w:spacing w:before="0" w:after="0" w:line="400" w:lineRule="exact"/>
              <w:rPr>
                <w:rFonts w:ascii="仿宋_GB2312" w:hAnsi="方正仿宋_GBK" w:eastAsia="仿宋_GB2312" w:cs="方正仿宋_GBK"/>
                <w:b w:val="0"/>
                <w:bCs w:val="0"/>
                <w:sz w:val="28"/>
              </w:rPr>
            </w:pPr>
            <w:r>
              <w:rPr>
                <w:rFonts w:hint="eastAsia" w:ascii="仿宋_GB2312" w:hAnsi="方正仿宋_GBK" w:eastAsia="仿宋_GB2312" w:cs="方正仿宋_GBK"/>
                <w:b w:val="0"/>
                <w:bCs w:val="0"/>
                <w:sz w:val="28"/>
              </w:rPr>
              <w:t>3.安顺市举一反三，对全市地热水资源开展排查建立台账，对有效期内矿业权加强监管；严厉打击无证勘查、无证开采等违法行为，有效维护地热水资源开采秩序。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D1420"/>
    <w:rsid w:val="05A64918"/>
    <w:rsid w:val="14317139"/>
    <w:rsid w:val="17337FE9"/>
    <w:rsid w:val="23E5604D"/>
    <w:rsid w:val="248B0CA2"/>
    <w:rsid w:val="256D1420"/>
    <w:rsid w:val="2BD5197E"/>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2023-03-29T09:06:00Z</dcterms:created>
  <dc:creator>admin</dc:creator>
  <cp:lastModifiedBy>admin</cp:lastModifiedBy>
  <dcterms:modified xsi:type="dcterms:W3CDTF">2023-03-29T09:06:28Z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B22210471B534320AD5CF0DCD458453B</vt:lpwstr>
  </property>
</Properties>
</file>