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color w:val="000000" w:themeColor="text1"/>
          <w:sz w:val="44"/>
          <w:szCs w:val="52"/>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52"/>
          <w:lang w:val="en-US" w:eastAsia="zh-CN"/>
          <w14:textFill>
            <w14:solidFill>
              <w14:schemeClr w14:val="tx1"/>
            </w14:solidFill>
          </w14:textFill>
        </w:rPr>
        <w:t>贵州省</w:t>
      </w:r>
      <w:r>
        <w:rPr>
          <w:rFonts w:hint="eastAsia" w:ascii="方正小标宋简体" w:hAnsi="方正小标宋简体" w:eastAsia="方正小标宋简体" w:cs="方正小标宋简体"/>
          <w:color w:val="000000" w:themeColor="text1"/>
          <w:sz w:val="44"/>
          <w:szCs w:val="52"/>
          <w14:textFill>
            <w14:solidFill>
              <w14:schemeClr w14:val="tx1"/>
            </w14:solidFill>
          </w14:textFill>
        </w:rPr>
        <w:t>国土空间规划（2021</w:t>
      </w:r>
      <w:r>
        <w:rPr>
          <w:rFonts w:hint="eastAsia" w:ascii="方正小标宋简体" w:hAnsi="方正小标宋简体" w:eastAsia="方正小标宋简体" w:cs="方正小标宋简体"/>
          <w:color w:val="000000" w:themeColor="text1"/>
          <w:sz w:val="44"/>
          <w:szCs w:val="52"/>
          <w:lang w:eastAsia="zh-CN"/>
          <w14:textFill>
            <w14:solidFill>
              <w14:schemeClr w14:val="tx1"/>
            </w14:solidFill>
          </w14:textFill>
        </w:rPr>
        <w:t>—</w:t>
      </w:r>
      <w:r>
        <w:rPr>
          <w:rFonts w:hint="eastAsia" w:ascii="方正小标宋简体" w:hAnsi="方正小标宋简体" w:eastAsia="方正小标宋简体" w:cs="方正小标宋简体"/>
          <w:color w:val="000000" w:themeColor="text1"/>
          <w:sz w:val="44"/>
          <w:szCs w:val="52"/>
          <w14:textFill>
            <w14:solidFill>
              <w14:schemeClr w14:val="tx1"/>
            </w14:solidFill>
          </w14:textFill>
        </w:rPr>
        <w:t>2035年）</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color w:val="000000" w:themeColor="text1"/>
          <w:sz w:val="44"/>
          <w:szCs w:val="52"/>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52"/>
          <w14:textFill>
            <w14:solidFill>
              <w14:schemeClr w14:val="tx1"/>
            </w14:solidFill>
          </w14:textFill>
        </w:rPr>
        <w:t>2026年度动态维护方案</w:t>
      </w:r>
    </w:p>
    <w:p>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楷体_GB2312" w:hAnsi="楷体_GB2312" w:eastAsia="楷体_GB2312" w:cs="楷体_GB2312"/>
          <w:color w:val="000000" w:themeColor="text1"/>
          <w:sz w:val="32"/>
          <w:szCs w:val="32"/>
          <w14:textFill>
            <w14:solidFill>
              <w14:schemeClr w14:val="tx1"/>
            </w14:solidFill>
          </w14:textFill>
        </w:rPr>
      </w:pPr>
      <w:r>
        <w:rPr>
          <w:rFonts w:hint="eastAsia" w:ascii="楷体_GB2312" w:hAnsi="楷体_GB2312" w:eastAsia="楷体_GB2312" w:cs="楷体_GB2312"/>
          <w:color w:val="000000" w:themeColor="text1"/>
          <w:sz w:val="32"/>
          <w:szCs w:val="32"/>
          <w14:textFill>
            <w14:solidFill>
              <w14:schemeClr w14:val="tx1"/>
            </w14:solidFill>
          </w14:textFill>
        </w:rPr>
        <w:t>（公示稿）</w:t>
      </w:r>
    </w:p>
    <w:p>
      <w:pPr>
        <w:rPr>
          <w:rFonts w:hint="eastAsia"/>
          <w:color w:val="000000" w:themeColor="text1"/>
          <w14:textFill>
            <w14:solidFill>
              <w14:schemeClr w14:val="tx1"/>
            </w14:solidFill>
          </w14:textFill>
        </w:rPr>
      </w:pPr>
    </w:p>
    <w:p>
      <w:pPr>
        <w:ind w:firstLine="640" w:firstLineChars="200"/>
        <w:rPr>
          <w:rFonts w:hint="eastAsia" w:ascii="仿宋_GB2312" w:hAnsi="仿宋_GB2312" w:eastAsia="仿宋_GB2312" w:cs="仿宋_GB2312"/>
          <w:color w:val="000000" w:themeColor="text1"/>
          <w:sz w:val="32"/>
          <w:szCs w:val="40"/>
          <w:lang w:eastAsia="zh-CN"/>
          <w14:textFill>
            <w14:solidFill>
              <w14:schemeClr w14:val="tx1"/>
            </w14:solidFill>
          </w14:textFill>
        </w:rPr>
      </w:pPr>
      <w:r>
        <w:rPr>
          <w:rFonts w:hint="eastAsia" w:ascii="仿宋_GB2312" w:hAnsi="仿宋_GB2312" w:eastAsia="仿宋_GB2312" w:cs="仿宋_GB2312"/>
          <w:color w:val="000000" w:themeColor="text1"/>
          <w:sz w:val="32"/>
          <w:szCs w:val="40"/>
          <w14:textFill>
            <w14:solidFill>
              <w14:schemeClr w14:val="tx1"/>
            </w14:solidFill>
          </w14:textFill>
        </w:rPr>
        <w:t>为深入贯彻党的二十届三中、四中全会精神，</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根据</w:t>
      </w:r>
      <w:r>
        <w:rPr>
          <w:rFonts w:hint="eastAsia" w:ascii="仿宋_GB2312" w:hAnsi="仿宋_GB2312" w:eastAsia="仿宋_GB2312" w:cs="仿宋_GB2312"/>
          <w:color w:val="000000" w:themeColor="text1"/>
          <w:sz w:val="32"/>
          <w:szCs w:val="40"/>
          <w14:textFill>
            <w14:solidFill>
              <w14:schemeClr w14:val="tx1"/>
            </w14:solidFill>
          </w14:textFill>
        </w:rPr>
        <w:t>《自然资源部 国家林业和草原局关于进一步做好自然资源要素保障的通知》（自然资发〔2026〕38号）关于建立国土空间总体规划年度动态维护机制的工作要求，支撑“十五五”期间重大战略任务、重大政策举措、重大工程项目落地实施，贵州省自然资源厅会同省级有关部门</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组织</w:t>
      </w:r>
      <w:r>
        <w:rPr>
          <w:rFonts w:hint="eastAsia" w:ascii="仿宋_GB2312" w:hAnsi="仿宋_GB2312" w:eastAsia="仿宋_GB2312" w:cs="仿宋_GB2312"/>
          <w:color w:val="000000" w:themeColor="text1"/>
          <w:sz w:val="32"/>
          <w:szCs w:val="40"/>
          <w14:textFill>
            <w14:solidFill>
              <w14:schemeClr w14:val="tx1"/>
            </w14:solidFill>
          </w14:textFill>
        </w:rPr>
        <w:t>开展《贵州省国土空间规划（2021—2035年）》（以下简称《规划》）2026年度动态维护工作</w:t>
      </w:r>
      <w:r>
        <w:rPr>
          <w:rFonts w:hint="eastAsia" w:ascii="仿宋_GB2312" w:hAnsi="仿宋_GB2312" w:eastAsia="仿宋_GB2312" w:cs="仿宋_GB2312"/>
          <w:color w:val="000000" w:themeColor="text1"/>
          <w:sz w:val="32"/>
          <w:szCs w:val="40"/>
          <w:lang w:eastAsia="zh-CN"/>
          <w14:textFill>
            <w14:solidFill>
              <w14:schemeClr w14:val="tx1"/>
            </w14:solidFill>
          </w14:textFill>
        </w:rPr>
        <w:t>。</w:t>
      </w:r>
    </w:p>
    <w:p>
      <w:pPr>
        <w:numPr>
          <w:ilvl w:val="0"/>
          <w:numId w:val="0"/>
        </w:numPr>
        <w:ind w:firstLine="640" w:firstLineChars="200"/>
        <w:rPr>
          <w:rFonts w:hint="eastAsia" w:ascii="黑体" w:hAnsi="黑体" w:eastAsia="黑体" w:cs="黑体"/>
          <w:color w:val="000000" w:themeColor="text1"/>
          <w:sz w:val="32"/>
          <w:szCs w:val="40"/>
          <w14:textFill>
            <w14:solidFill>
              <w14:schemeClr w14:val="tx1"/>
            </w14:solidFill>
          </w14:textFill>
        </w:rPr>
      </w:pPr>
      <w:r>
        <w:rPr>
          <w:rFonts w:hint="eastAsia" w:ascii="黑体" w:hAnsi="黑体" w:eastAsia="黑体" w:cs="黑体"/>
          <w:color w:val="000000" w:themeColor="text1"/>
          <w:sz w:val="32"/>
          <w:szCs w:val="40"/>
          <w:lang w:val="en-US" w:eastAsia="zh-CN"/>
          <w14:textFill>
            <w14:solidFill>
              <w14:schemeClr w14:val="tx1"/>
            </w14:solidFill>
          </w14:textFill>
        </w:rPr>
        <w:t>一、规划实施成效</w:t>
      </w:r>
    </w:p>
    <w:p>
      <w:pPr>
        <w:numPr>
          <w:ilvl w:val="0"/>
          <w:numId w:val="1"/>
        </w:numPr>
        <w:ind w:firstLine="640" w:firstLineChars="200"/>
        <w:rPr>
          <w:rFonts w:hint="eastAsia" w:ascii="楷体" w:hAnsi="楷体" w:eastAsia="楷体" w:cs="楷体"/>
          <w:color w:val="000000" w:themeColor="text1"/>
          <w:sz w:val="32"/>
          <w:szCs w:val="40"/>
          <w:lang w:val="en-US" w:eastAsia="zh-CN"/>
          <w14:textFill>
            <w14:solidFill>
              <w14:schemeClr w14:val="tx1"/>
            </w14:solidFill>
          </w14:textFill>
        </w:rPr>
      </w:pPr>
      <w:r>
        <w:rPr>
          <w:rFonts w:hint="eastAsia" w:ascii="楷体" w:hAnsi="楷体" w:eastAsia="楷体" w:cs="楷体"/>
          <w:color w:val="000000" w:themeColor="text1"/>
          <w:sz w:val="32"/>
          <w:szCs w:val="40"/>
          <w:lang w:val="en-US" w:eastAsia="zh-CN"/>
          <w14:textFill>
            <w14:solidFill>
              <w14:schemeClr w14:val="tx1"/>
            </w14:solidFill>
          </w14:textFill>
        </w:rPr>
        <w:t>省域空间格局逐步形成</w:t>
      </w:r>
    </w:p>
    <w:p>
      <w:pPr>
        <w:ind w:firstLine="640" w:firstLineChars="200"/>
        <w:jc w:val="both"/>
        <w:rPr>
          <w:rFonts w:hint="eastAsia" w:ascii="黑体" w:hAnsi="黑体" w:eastAsia="黑体" w:cs="黑体"/>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省域“一环两区、四山八水、一群三带、双向开放”总体格局进一步细化巩固。耕地保护与高标准农田建设持续推进，农业生产保障能力进一步提升；实施系列生态修复工程，“两江”上游生态屏障功能进一步强化；城镇空间资源要素与重大生产力加快集聚，有力支撑新型城镇化战略实施；对外综合交通体系逐步构建，进一步支撑融入国家发展大格局；黔中城市群、贵阳都市圈协同发展程度提升，引擎作用逐步显现。</w:t>
      </w:r>
    </w:p>
    <w:p>
      <w:pPr>
        <w:numPr>
          <w:ilvl w:val="0"/>
          <w:numId w:val="1"/>
        </w:numPr>
        <w:ind w:firstLine="640" w:firstLineChars="200"/>
        <w:rPr>
          <w:rFonts w:hint="default" w:ascii="楷体" w:hAnsi="楷体" w:eastAsia="楷体" w:cs="楷体"/>
          <w:color w:val="000000" w:themeColor="text1"/>
          <w:sz w:val="32"/>
          <w:szCs w:val="40"/>
          <w:lang w:val="en-US" w:eastAsia="zh-CN"/>
          <w14:textFill>
            <w14:solidFill>
              <w14:schemeClr w14:val="tx1"/>
            </w14:solidFill>
          </w14:textFill>
        </w:rPr>
      </w:pPr>
      <w:r>
        <w:rPr>
          <w:rFonts w:hint="eastAsia" w:ascii="楷体" w:hAnsi="楷体" w:eastAsia="楷体" w:cs="楷体"/>
          <w:color w:val="000000" w:themeColor="text1"/>
          <w:sz w:val="32"/>
          <w:szCs w:val="40"/>
          <w:lang w:val="en-US" w:eastAsia="zh-CN"/>
          <w14:textFill>
            <w14:solidFill>
              <w14:schemeClr w14:val="tx1"/>
            </w14:solidFill>
          </w14:textFill>
        </w:rPr>
        <w:t>资源保护利用成效显著</w:t>
      </w:r>
    </w:p>
    <w:p>
      <w:pPr>
        <w:ind w:firstLine="640" w:firstLineChars="200"/>
        <w:jc w:val="both"/>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严守耕地、生态、城镇等资源安全底线，统筹保护与利用</w:t>
      </w:r>
      <w:r>
        <w:rPr>
          <w:rFonts w:hint="eastAsia" w:ascii="仿宋" w:hAnsi="仿宋" w:eastAsia="仿宋" w:cs="仿宋"/>
          <w:b w:val="0"/>
          <w:bCs w:val="0"/>
          <w:color w:val="000000" w:themeColor="text1"/>
          <w:sz w:val="32"/>
          <w:szCs w:val="40"/>
          <w:lang w:val="en-US" w:eastAsia="zh-CN"/>
          <w14:textFill>
            <w14:solidFill>
              <w14:schemeClr w14:val="tx1"/>
            </w14:solidFill>
          </w14:textFill>
        </w:rPr>
        <w:t>，支撑国土空间高质量发展</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耕地保有量、永久基本农田、生态保护红线面积均完成国家下达目标，城镇开发边界未突破扩展倍数及分阶段控制要求，存量用地盘活成效显著；用水总量控制在规划目标内，森林覆盖率保持稳定，资源保护利用总体较好。</w:t>
      </w:r>
    </w:p>
    <w:p>
      <w:pPr>
        <w:numPr>
          <w:ilvl w:val="0"/>
          <w:numId w:val="1"/>
        </w:numPr>
        <w:ind w:firstLine="640" w:firstLineChars="200"/>
        <w:rPr>
          <w:rFonts w:hint="eastAsia" w:ascii="楷体" w:hAnsi="楷体" w:eastAsia="楷体" w:cs="楷体"/>
          <w:color w:val="000000" w:themeColor="text1"/>
          <w:sz w:val="32"/>
          <w:szCs w:val="40"/>
          <w:lang w:val="en-US" w:eastAsia="zh-CN"/>
          <w14:textFill>
            <w14:solidFill>
              <w14:schemeClr w14:val="tx1"/>
            </w14:solidFill>
          </w14:textFill>
        </w:rPr>
      </w:pPr>
      <w:r>
        <w:rPr>
          <w:rFonts w:hint="eastAsia" w:ascii="楷体" w:hAnsi="楷体" w:eastAsia="楷体" w:cs="楷体"/>
          <w:color w:val="000000" w:themeColor="text1"/>
          <w:sz w:val="32"/>
          <w:szCs w:val="40"/>
          <w:lang w:val="en-US" w:eastAsia="zh-CN"/>
          <w14:textFill>
            <w14:solidFill>
              <w14:schemeClr w14:val="tx1"/>
            </w14:solidFill>
          </w14:textFill>
        </w:rPr>
        <w:t>规划对经济发展支撑能力增强</w:t>
      </w:r>
    </w:p>
    <w:p>
      <w:pPr>
        <w:ind w:firstLine="640" w:firstLineChars="200"/>
        <w:jc w:val="both"/>
        <w:rPr>
          <w:rFonts w:hint="eastAsia"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省域城镇体系结构逐步完善，中心城市与副中心城市成为驱动发展重要引擎，城镇化水平显著提升。有力保障“六大产业基地”建设，省级以上经开区全部纳入城镇开发边界，产业空间向黔中城市群、贵阳都市圈集聚，经济发展引擎功能得到凸显</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。保障“富矿精开”空间需求，矿产资源开发有序推进。一批重点基础设施建设项目用地获批，水网、路网、电网、能源设施网逐步形成，有效保障基础支撑体系建设</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w:t>
      </w:r>
    </w:p>
    <w:p>
      <w:pPr>
        <w:numPr>
          <w:ilvl w:val="0"/>
          <w:numId w:val="1"/>
        </w:numPr>
        <w:ind w:firstLine="640" w:firstLineChars="200"/>
        <w:rPr>
          <w:rFonts w:hint="default" w:ascii="楷体" w:hAnsi="楷体" w:eastAsia="楷体" w:cs="楷体"/>
          <w:color w:val="000000" w:themeColor="text1"/>
          <w:sz w:val="32"/>
          <w:szCs w:val="40"/>
          <w:lang w:val="en-US" w:eastAsia="zh-CN"/>
          <w14:textFill>
            <w14:solidFill>
              <w14:schemeClr w14:val="tx1"/>
            </w14:solidFill>
          </w14:textFill>
        </w:rPr>
      </w:pPr>
      <w:r>
        <w:rPr>
          <w:rFonts w:hint="eastAsia" w:ascii="楷体" w:hAnsi="楷体" w:eastAsia="楷体" w:cs="楷体"/>
          <w:color w:val="000000" w:themeColor="text1"/>
          <w:sz w:val="32"/>
          <w:szCs w:val="40"/>
          <w:lang w:val="en-US" w:eastAsia="zh-CN"/>
          <w14:textFill>
            <w14:solidFill>
              <w14:schemeClr w14:val="tx1"/>
            </w14:solidFill>
          </w14:textFill>
        </w:rPr>
        <w:t>城乡空间人居环境持续改善</w:t>
      </w:r>
    </w:p>
    <w:p>
      <w:pPr>
        <w:ind w:firstLine="640" w:firstLineChars="200"/>
        <w:jc w:val="both"/>
        <w:rPr>
          <w:rFonts w:hint="default"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通过引导优化城乡空间布局和功能结构，促进公共服务设施共建共享，人居环境持续改善。城镇公共管理与公共服务用地、公园绿地面积稳步增加且占比保持稳定。乡镇生活污水处理、5G基站、农村供水、自然村寨生活垃圾收运、村级医疗服务等设施覆盖率显著提高，城乡教育、医疗等公共服务均等化水平持续提升。</w:t>
      </w:r>
    </w:p>
    <w:p>
      <w:pPr>
        <w:numPr>
          <w:ilvl w:val="0"/>
          <w:numId w:val="0"/>
        </w:numPr>
        <w:ind w:firstLine="640" w:firstLineChars="200"/>
        <w:rPr>
          <w:rFonts w:hint="default" w:ascii="黑体" w:hAnsi="黑体" w:eastAsia="黑体" w:cs="黑体"/>
          <w:color w:val="000000" w:themeColor="text1"/>
          <w:sz w:val="32"/>
          <w:szCs w:val="40"/>
          <w:lang w:val="en-US"/>
          <w14:textFill>
            <w14:solidFill>
              <w14:schemeClr w14:val="tx1"/>
            </w14:solidFill>
          </w14:textFill>
        </w:rPr>
      </w:pPr>
      <w:r>
        <w:rPr>
          <w:rFonts w:hint="eastAsia" w:ascii="黑体" w:hAnsi="黑体" w:eastAsia="黑体" w:cs="黑体"/>
          <w:color w:val="000000" w:themeColor="text1"/>
          <w:sz w:val="32"/>
          <w:szCs w:val="40"/>
          <w:lang w:val="en-US" w:eastAsia="zh-CN"/>
          <w14:textFill>
            <w14:solidFill>
              <w14:schemeClr w14:val="tx1"/>
            </w14:solidFill>
          </w14:textFill>
        </w:rPr>
        <w:t>二、动态维护方案</w:t>
      </w:r>
    </w:p>
    <w:p>
      <w:pPr>
        <w:numPr>
          <w:ilvl w:val="0"/>
          <w:numId w:val="2"/>
        </w:numPr>
        <w:ind w:firstLine="640" w:firstLineChars="200"/>
        <w:rPr>
          <w:rFonts w:hint="default" w:ascii="楷体" w:hAnsi="楷体" w:eastAsia="楷体" w:cs="楷体"/>
          <w:color w:val="000000" w:themeColor="text1"/>
          <w:sz w:val="32"/>
          <w:szCs w:val="40"/>
          <w:lang w:val="en-US" w:eastAsia="zh-CN"/>
          <w14:textFill>
            <w14:solidFill>
              <w14:schemeClr w14:val="tx1"/>
            </w14:solidFill>
          </w14:textFill>
        </w:rPr>
      </w:pPr>
      <w:r>
        <w:rPr>
          <w:rFonts w:hint="eastAsia" w:ascii="楷体" w:hAnsi="楷体" w:eastAsia="楷体" w:cs="楷体"/>
          <w:color w:val="000000" w:themeColor="text1"/>
          <w:sz w:val="32"/>
          <w:szCs w:val="40"/>
          <w:lang w:val="en-US" w:eastAsia="zh-CN"/>
          <w14:textFill>
            <w14:solidFill>
              <w14:schemeClr w14:val="tx1"/>
            </w14:solidFill>
          </w14:textFill>
        </w:rPr>
        <w:t>“三条控制线”正向优化</w:t>
      </w:r>
    </w:p>
    <w:p>
      <w:pPr>
        <w:numPr>
          <w:ilvl w:val="0"/>
          <w:numId w:val="0"/>
        </w:numPr>
        <w:ind w:firstLine="640" w:firstLineChars="200"/>
        <w:rPr>
          <w:rFonts w:hint="eastAsia" w:ascii="仿宋_GB2312" w:hAnsi="仿宋_GB2312" w:eastAsia="仿宋_GB2312" w:cs="仿宋_GB2312"/>
          <w:color w:val="000000" w:themeColor="text1"/>
          <w:sz w:val="32"/>
          <w:szCs w:val="40"/>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本次省级规划动态维护</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维持国家确定的耕地保有量、永久基本农田保护面积、生态保护红线面积、城镇开发边界扩展倍数等约束性指标</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不变。涉及三条控制线布局优化等具体内容</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由市（州）、县级国土空间总体规划动态维护方案确定。</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市（州）可在辖区内城镇开发边界扩展倍数不突破的前提下，对市（</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州）域内规划新增城镇建设用地规模进行统筹。</w:t>
      </w:r>
    </w:p>
    <w:p>
      <w:pPr>
        <w:numPr>
          <w:ilvl w:val="0"/>
          <w:numId w:val="2"/>
        </w:numPr>
        <w:ind w:firstLine="640" w:firstLineChars="200"/>
        <w:rPr>
          <w:rFonts w:hint="default" w:ascii="楷体" w:hAnsi="楷体" w:eastAsia="楷体" w:cs="楷体"/>
          <w:color w:val="000000" w:themeColor="text1"/>
          <w:sz w:val="32"/>
          <w:szCs w:val="40"/>
          <w:lang w:val="en-US" w:eastAsia="zh-CN"/>
          <w14:textFill>
            <w14:solidFill>
              <w14:schemeClr w14:val="tx1"/>
            </w14:solidFill>
          </w14:textFill>
        </w:rPr>
      </w:pPr>
      <w:r>
        <w:rPr>
          <w:rFonts w:hint="eastAsia" w:ascii="楷体" w:hAnsi="楷体" w:eastAsia="楷体" w:cs="楷体"/>
          <w:color w:val="000000" w:themeColor="text1"/>
          <w:sz w:val="32"/>
          <w:szCs w:val="40"/>
          <w:lang w:val="en-US" w:eastAsia="zh-CN"/>
          <w14:textFill>
            <w14:solidFill>
              <w14:schemeClr w14:val="tx1"/>
            </w14:solidFill>
          </w14:textFill>
        </w:rPr>
        <w:t>规划文本内容优化</w:t>
      </w:r>
    </w:p>
    <w:p>
      <w:pPr>
        <w:numPr>
          <w:ilvl w:val="0"/>
          <w:numId w:val="0"/>
        </w:numPr>
        <w:ind w:firstLine="640" w:firstLineChars="200"/>
        <w:rPr>
          <w:rFonts w:hint="eastAsia" w:ascii="仿宋_GB2312" w:hAnsi="仿宋_GB2312" w:eastAsia="仿宋_GB2312" w:cs="仿宋_GB2312"/>
          <w:color w:val="000000" w:themeColor="text1"/>
          <w:sz w:val="32"/>
          <w:szCs w:val="40"/>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本次省级规划动态维护</w:t>
      </w:r>
      <w:r>
        <w:rPr>
          <w:rFonts w:hint="eastAsia" w:ascii="仿宋_GB2312" w:hAnsi="仿宋_GB2312" w:eastAsia="仿宋_GB2312" w:cs="仿宋_GB2312"/>
          <w:color w:val="000000" w:themeColor="text1"/>
          <w:sz w:val="32"/>
          <w:szCs w:val="40"/>
          <w14:textFill>
            <w14:solidFill>
              <w14:schemeClr w14:val="tx1"/>
            </w14:solidFill>
          </w14:textFill>
        </w:rPr>
        <w:t>全面贯彻党的二十届三中、四中全会精神和习近平总书记考察贵州重要讲话精神，衔接国家及省级</w:t>
      </w:r>
      <w:r>
        <w:rPr>
          <w:rFonts w:hint="eastAsia" w:ascii="仿宋_GB2312" w:hAnsi="仿宋_GB2312" w:eastAsia="仿宋_GB2312" w:cs="仿宋_GB2312"/>
          <w:color w:val="000000" w:themeColor="text1"/>
          <w:sz w:val="32"/>
          <w:szCs w:val="40"/>
          <w:lang w:eastAsia="zh-CN"/>
          <w14:textFill>
            <w14:solidFill>
              <w14:schemeClr w14:val="tx1"/>
            </w14:solidFill>
          </w14:textFill>
        </w:rPr>
        <w:t>“</w:t>
      </w:r>
      <w:r>
        <w:rPr>
          <w:rFonts w:hint="eastAsia" w:ascii="仿宋_GB2312" w:hAnsi="仿宋_GB2312" w:eastAsia="仿宋_GB2312" w:cs="仿宋_GB2312"/>
          <w:color w:val="000000" w:themeColor="text1"/>
          <w:sz w:val="32"/>
          <w:szCs w:val="40"/>
          <w14:textFill>
            <w14:solidFill>
              <w14:schemeClr w14:val="tx1"/>
            </w14:solidFill>
          </w14:textFill>
        </w:rPr>
        <w:t>十五五</w:t>
      </w:r>
      <w:r>
        <w:rPr>
          <w:rFonts w:hint="eastAsia" w:ascii="仿宋_GB2312" w:hAnsi="仿宋_GB2312" w:eastAsia="仿宋_GB2312" w:cs="仿宋_GB2312"/>
          <w:color w:val="000000" w:themeColor="text1"/>
          <w:sz w:val="32"/>
          <w:szCs w:val="40"/>
          <w:lang w:eastAsia="zh-CN"/>
          <w14:textFill>
            <w14:solidFill>
              <w14:schemeClr w14:val="tx1"/>
            </w14:solidFill>
          </w14:textFill>
        </w:rPr>
        <w:t>”</w:t>
      </w:r>
      <w:r>
        <w:rPr>
          <w:rFonts w:hint="eastAsia" w:ascii="仿宋_GB2312" w:hAnsi="仿宋_GB2312" w:eastAsia="仿宋_GB2312" w:cs="仿宋_GB2312"/>
          <w:color w:val="000000" w:themeColor="text1"/>
          <w:sz w:val="32"/>
          <w:szCs w:val="40"/>
          <w14:textFill>
            <w14:solidFill>
              <w14:schemeClr w14:val="tx1"/>
            </w14:solidFill>
          </w14:textFill>
        </w:rPr>
        <w:t>规划纲要战略任务，落实中央和省委城市工作会议精神，</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从优化空间格局、强化产业支撑、促进城乡融合发展、强化文化遗产保护利用、加强规划实施管理等方面，</w:t>
      </w:r>
      <w:r>
        <w:rPr>
          <w:rFonts w:hint="eastAsia" w:ascii="仿宋_GB2312" w:hAnsi="仿宋_GB2312" w:eastAsia="仿宋_GB2312" w:cs="仿宋_GB2312"/>
          <w:color w:val="000000" w:themeColor="text1"/>
          <w:sz w:val="32"/>
          <w:szCs w:val="40"/>
          <w14:textFill>
            <w14:solidFill>
              <w14:schemeClr w14:val="tx1"/>
            </w14:solidFill>
          </w14:textFill>
        </w:rPr>
        <w:t>对现有规划文本进行优化，切实提升规划的战略性、时效性。</w:t>
      </w:r>
    </w:p>
    <w:p>
      <w:pPr>
        <w:numPr>
          <w:ilvl w:val="0"/>
          <w:numId w:val="2"/>
        </w:numPr>
        <w:ind w:firstLine="640" w:firstLineChars="200"/>
        <w:rPr>
          <w:rFonts w:hint="eastAsia" w:ascii="楷体" w:hAnsi="楷体" w:eastAsia="楷体" w:cs="楷体"/>
          <w:color w:val="000000" w:themeColor="text1"/>
          <w:sz w:val="32"/>
          <w:szCs w:val="40"/>
          <w:lang w:val="en-US" w:eastAsia="zh-CN"/>
          <w14:textFill>
            <w14:solidFill>
              <w14:schemeClr w14:val="tx1"/>
            </w14:solidFill>
          </w14:textFill>
        </w:rPr>
      </w:pPr>
      <w:r>
        <w:rPr>
          <w:rFonts w:hint="eastAsia" w:ascii="楷体" w:hAnsi="楷体" w:eastAsia="楷体" w:cs="楷体"/>
          <w:color w:val="000000" w:themeColor="text1"/>
          <w:sz w:val="32"/>
          <w:szCs w:val="40"/>
          <w:lang w:val="en-US" w:eastAsia="zh-CN"/>
          <w14:textFill>
            <w14:solidFill>
              <w14:schemeClr w14:val="tx1"/>
            </w14:solidFill>
          </w14:textFill>
        </w:rPr>
        <w:t>重点建设项目安排表维护</w:t>
      </w:r>
    </w:p>
    <w:p>
      <w:pPr>
        <w:ind w:firstLine="640"/>
        <w:rPr>
          <w:rFonts w:hint="default" w:ascii="仿宋_GB2312" w:hAnsi="仿宋_GB2312" w:eastAsia="仿宋_GB2312" w:cs="仿宋_GB2312"/>
          <w:color w:val="000000" w:themeColor="text1"/>
          <w:sz w:val="32"/>
          <w:szCs w:val="40"/>
          <w:lang w:val="en-US" w:eastAsia="zh-CN"/>
          <w14:textFill>
            <w14:solidFill>
              <w14:schemeClr w14:val="tx1"/>
            </w14:solidFill>
          </w14:textFill>
        </w:rPr>
      </w:pPr>
      <w:r>
        <w:rPr>
          <w:rFonts w:hint="default" w:ascii="仿宋_GB2312" w:hAnsi="仿宋_GB2312" w:eastAsia="仿宋_GB2312" w:cs="仿宋_GB2312"/>
          <w:color w:val="000000" w:themeColor="text1"/>
          <w:sz w:val="32"/>
          <w:szCs w:val="40"/>
          <w:lang w:val="en-US" w:eastAsia="zh-CN"/>
          <w14:textFill>
            <w14:solidFill>
              <w14:schemeClr w14:val="tx1"/>
            </w14:solidFill>
          </w14:textFill>
        </w:rPr>
        <w:t>本次动态维护以发展战略为引领，严格落实国家级、省级“十五五”发展规划和相关专项规划确定的重大任务、重大项目空间需求，对省级国土空间规划重点项目安排表进行动态维护。</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落实国家重点建设项目，</w:t>
      </w:r>
      <w:r>
        <w:rPr>
          <w:rFonts w:hint="default" w:ascii="仿宋_GB2312" w:hAnsi="仿宋_GB2312" w:eastAsia="仿宋_GB2312" w:cs="仿宋_GB2312"/>
          <w:color w:val="000000" w:themeColor="text1"/>
          <w:sz w:val="32"/>
          <w:szCs w:val="40"/>
          <w:lang w:val="en-US" w:eastAsia="zh-CN"/>
          <w14:textFill>
            <w14:solidFill>
              <w14:schemeClr w14:val="tx1"/>
            </w14:solidFill>
          </w14:textFill>
        </w:rPr>
        <w:t>衔接贵州省</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“十五五”规划纲要</w:t>
      </w:r>
      <w:r>
        <w:rPr>
          <w:rFonts w:hint="default" w:ascii="仿宋_GB2312" w:hAnsi="仿宋_GB2312" w:eastAsia="仿宋_GB2312" w:cs="仿宋_GB2312"/>
          <w:color w:val="000000" w:themeColor="text1"/>
          <w:sz w:val="32"/>
          <w:szCs w:val="40"/>
          <w:lang w:val="en-US" w:eastAsia="zh-CN"/>
          <w14:textFill>
            <w14:solidFill>
              <w14:schemeClr w14:val="tx1"/>
            </w14:solidFill>
          </w14:textFill>
        </w:rPr>
        <w:t>和各部门专项规划，将已纳入相关规划和拟纳入正在编制的“十五五”规划的</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1399</w:t>
      </w:r>
      <w:r>
        <w:rPr>
          <w:rFonts w:hint="default" w:ascii="仿宋_GB2312" w:hAnsi="仿宋_GB2312" w:eastAsia="仿宋_GB2312" w:cs="仿宋_GB2312"/>
          <w:color w:val="000000" w:themeColor="text1"/>
          <w:sz w:val="32"/>
          <w:szCs w:val="40"/>
          <w:lang w:val="en-US" w:eastAsia="zh-CN"/>
          <w14:textFill>
            <w14:solidFill>
              <w14:schemeClr w14:val="tx1"/>
            </w14:solidFill>
          </w14:textFill>
        </w:rPr>
        <w:t>个省级</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及以上重点建设</w:t>
      </w:r>
      <w:r>
        <w:rPr>
          <w:rFonts w:hint="default" w:ascii="仿宋_GB2312" w:hAnsi="仿宋_GB2312" w:eastAsia="仿宋_GB2312" w:cs="仿宋_GB2312"/>
          <w:color w:val="000000" w:themeColor="text1"/>
          <w:sz w:val="32"/>
          <w:szCs w:val="40"/>
          <w:lang w:val="en-US" w:eastAsia="zh-CN"/>
          <w14:textFill>
            <w14:solidFill>
              <w14:schemeClr w14:val="tx1"/>
            </w14:solidFill>
          </w14:textFill>
        </w:rPr>
        <w:t>项目统筹</w:t>
      </w: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增补（更新</w:t>
      </w:r>
      <w:bookmarkStart w:id="0" w:name="_GoBack"/>
      <w:bookmarkEnd w:id="0"/>
      <w:r>
        <w:rPr>
          <w:rFonts w:hint="eastAsia" w:ascii="仿宋_GB2312" w:hAnsi="仿宋_GB2312" w:eastAsia="仿宋_GB2312" w:cs="仿宋_GB2312"/>
          <w:color w:val="000000" w:themeColor="text1"/>
          <w:sz w:val="32"/>
          <w:szCs w:val="40"/>
          <w:lang w:val="en-US" w:eastAsia="zh-CN"/>
          <w14:textFill>
            <w14:solidFill>
              <w14:schemeClr w14:val="tx1"/>
            </w14:solidFill>
          </w14:textFill>
        </w:rPr>
        <w:t>）</w:t>
      </w:r>
      <w:r>
        <w:rPr>
          <w:rFonts w:hint="default" w:ascii="仿宋_GB2312" w:hAnsi="仿宋_GB2312" w:eastAsia="仿宋_GB2312" w:cs="仿宋_GB2312"/>
          <w:color w:val="000000" w:themeColor="text1"/>
          <w:sz w:val="32"/>
          <w:szCs w:val="40"/>
          <w:lang w:val="en-US" w:eastAsia="zh-CN"/>
          <w14:textFill>
            <w14:solidFill>
              <w14:schemeClr w14:val="tx1"/>
            </w14:solidFill>
          </w14:textFill>
        </w:rPr>
        <w:t>纳入重点项目安排表，对能够精准上图、示意上图的项目，同步更新省级国土空间规划矢量数据库，纳入自然资源管理和国土空间规划“一张图”。</w:t>
      </w:r>
    </w:p>
    <w:p>
      <w:pPr>
        <w:numPr>
          <w:ilvl w:val="0"/>
          <w:numId w:val="0"/>
        </w:numPr>
        <w:ind w:firstLine="640" w:firstLineChars="200"/>
        <w:rPr>
          <w:rFonts w:hint="eastAsia" w:ascii="黑体" w:hAnsi="黑体" w:eastAsia="黑体" w:cs="黑体"/>
          <w:color w:val="000000" w:themeColor="text1"/>
          <w:sz w:val="32"/>
          <w:szCs w:val="40"/>
          <w:lang w:val="en-US" w:eastAsia="zh-CN"/>
          <w14:textFill>
            <w14:solidFill>
              <w14:schemeClr w14:val="tx1"/>
            </w14:solidFill>
          </w14:textFill>
        </w:rPr>
      </w:pPr>
      <w:r>
        <w:rPr>
          <w:rFonts w:hint="eastAsia" w:ascii="黑体" w:hAnsi="黑体" w:eastAsia="黑体" w:cs="黑体"/>
          <w:color w:val="000000" w:themeColor="text1"/>
          <w:sz w:val="32"/>
          <w:szCs w:val="40"/>
          <w:lang w:val="en-US" w:eastAsia="zh-CN"/>
          <w14:textFill>
            <w14:solidFill>
              <w14:schemeClr w14:val="tx1"/>
            </w14:solidFill>
          </w14:textFill>
        </w:rPr>
        <w:t>三、动态维护方案合理性分析</w:t>
      </w:r>
    </w:p>
    <w:p>
      <w:pPr>
        <w:numPr>
          <w:ilvl w:val="0"/>
          <w:numId w:val="0"/>
        </w:numPr>
        <w:rPr>
          <w:rFonts w:hint="default"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 xml:space="preserve">    通过本次动态维护，全省耕地保有量、永久基本农田面积、生态保护红线面积、城镇开发边界扩展倍数等约束性指标不改变，省域国土空间开发保护总体格局不改变。增补国家层面下发、省级各行业主管部门提供的重大基础设施建设项目纳入重点项目安排表，对提升水资源安全保障能力、巩固国家“西电东送”能源基地基础、统筹“富矿精开”战略实施、夯实安全韧性根基具有正向支撑作用，《规划》中重点项目安排表是服务于用地审批时单独选址项目合规性认定的依据，不作为项目建设必要性和时序的安排。综上，本次省级国土空间规划动态维护将对筑牢全省空间安全底线、巩固空间总体格局、支撑社会经济发展形成正向、可控、可持续的影响。</w:t>
      </w:r>
    </w:p>
    <w:p>
      <w:pPr>
        <w:ind w:firstLine="640"/>
        <w:rPr>
          <w:rFonts w:hint="default" w:ascii="仿宋_GB2312" w:hAnsi="仿宋_GB2312" w:eastAsia="仿宋_GB2312" w:cs="仿宋_GB2312"/>
          <w:color w:val="000000" w:themeColor="text1"/>
          <w:sz w:val="32"/>
          <w:szCs w:val="40"/>
          <w:lang w:val="en-US" w:eastAsia="zh-CN"/>
          <w14:textFill>
            <w14:solidFill>
              <w14:schemeClr w14:val="tx1"/>
            </w14:solidFill>
          </w14:textFill>
        </w:rPr>
      </w:pPr>
      <w:r>
        <w:rPr>
          <w:rFonts w:hint="eastAsia" w:ascii="仿宋_GB2312" w:hAnsi="仿宋_GB2312" w:eastAsia="仿宋_GB2312" w:cs="仿宋_GB2312"/>
          <w:color w:val="000000" w:themeColor="text1"/>
          <w:sz w:val="32"/>
          <w:szCs w:val="40"/>
          <w:lang w:val="en-US" w:eastAsia="zh-CN"/>
          <w14:textFill>
            <w14:solidFill>
              <w14:schemeClr w14:val="tx1"/>
            </w14:solidFill>
          </w14:textFill>
        </w:rPr>
        <w:t>注：本动态维护方案内容以批复后成果为准。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2CCB5E"/>
    <w:multiLevelType w:val="singleLevel"/>
    <w:tmpl w:val="552CCB5E"/>
    <w:lvl w:ilvl="0" w:tentative="0">
      <w:start w:val="1"/>
      <w:numFmt w:val="chineseCounting"/>
      <w:suff w:val="nothing"/>
      <w:lvlText w:val="（%1）"/>
      <w:lvlJc w:val="left"/>
      <w:rPr>
        <w:rFonts w:hint="eastAsia"/>
      </w:rPr>
    </w:lvl>
  </w:abstractNum>
  <w:abstractNum w:abstractNumId="1">
    <w:nsid w:val="6FA81BAF"/>
    <w:multiLevelType w:val="singleLevel"/>
    <w:tmpl w:val="6FA81BA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83505"/>
    <w:rsid w:val="014975F1"/>
    <w:rsid w:val="01933EA1"/>
    <w:rsid w:val="05EF66E2"/>
    <w:rsid w:val="082532FD"/>
    <w:rsid w:val="08B22DE8"/>
    <w:rsid w:val="08B55E34"/>
    <w:rsid w:val="091C32AD"/>
    <w:rsid w:val="099F61DF"/>
    <w:rsid w:val="0DF97D41"/>
    <w:rsid w:val="161E7468"/>
    <w:rsid w:val="171F6566"/>
    <w:rsid w:val="1BD166A1"/>
    <w:rsid w:val="1CF55E97"/>
    <w:rsid w:val="20EC135F"/>
    <w:rsid w:val="265730D7"/>
    <w:rsid w:val="2C401F63"/>
    <w:rsid w:val="2D1934DC"/>
    <w:rsid w:val="3B7D37CF"/>
    <w:rsid w:val="3C885F88"/>
    <w:rsid w:val="3ECB6A80"/>
    <w:rsid w:val="420460B1"/>
    <w:rsid w:val="43BC29BB"/>
    <w:rsid w:val="4DBD1062"/>
    <w:rsid w:val="4E8D6CA7"/>
    <w:rsid w:val="565C6063"/>
    <w:rsid w:val="569A430A"/>
    <w:rsid w:val="5EE7363A"/>
    <w:rsid w:val="66BF0488"/>
    <w:rsid w:val="6A026ACA"/>
    <w:rsid w:val="6A874967"/>
    <w:rsid w:val="70016B46"/>
    <w:rsid w:val="76EB0830"/>
    <w:rsid w:val="7E0172C3"/>
    <w:rsid w:val="7E032717"/>
    <w:rsid w:val="7FFA89AE"/>
    <w:rsid w:val="E7FFBDAF"/>
    <w:rsid w:val="FCF63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870609fc-c7dc-4d50-b77d-73cb1c1c4c7d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57B29612</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3afe0ab8-a1a2-449d-a8a9-fef160fa34b7</errorID>
      <errorWord xmlns="http://schemas.wps.cn/vas-ai-hub/contract-review">完善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加大</item>
      </candidateList>
      <explain xmlns="http://schemas.wps.cn/vas-ai-hub/contract-review"/>
      <paraID xmlns="http://schemas.wps.cn/vas-ai-hub/contract-review">409449E1</paraID>
      <start xmlns="http://schemas.wps.cn/vas-ai-hub/contract-review">287</start>
      <end xmlns="http://schemas.wps.cn/vas-ai-hub/contract-review">289</end>
      <status xmlns="http://schemas.wps.cn/vas-ai-hub/contract-review">modified</status>
      <modifiedWord xmlns="http://schemas.wps.cn/vas-ai-hub/contract-review">加大</modifiedWord>
      <trackRevisions xmlns="http://schemas.wps.cn/vas-ai-hub/contract-review">false</trackRevisions>
    </reviewItem>
    <reviewItem xmlns="http://schemas.wps.cn/vas-ai-hub/contract-review">
      <errorID xmlns="http://schemas.wps.cn/vas-ai-hub/contract-review">9235c54e-95aa-486a-884e-bf9ffc5edfbc</errorID>
      <errorWord xmlns="http://schemas.wps.cn/vas-ai-hub/contract-review">“十五五”发展规划纲要</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“十五五”规划纲要</item>
      </candidateList>
      <explain xmlns="http://schemas.wps.cn/vas-ai-hub/contract-review"/>
      <paraID xmlns="http://schemas.wps.cn/vas-ai-hub/contract-review">77DCA45F</paraID>
      <start xmlns="http://schemas.wps.cn/vas-ai-hub/contract-review">97</start>
      <end xmlns="http://schemas.wps.cn/vas-ai-hub/contract-review">106</end>
      <status xmlns="http://schemas.wps.cn/vas-ai-hub/contract-review">modified</status>
      <modifiedWord xmlns="http://schemas.wps.cn/vas-ai-hub/contract-review">“十五五”规划纲要</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db70aa3d-dbf2-4d99-a032-e5b44441e53f}">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1801</Words>
  <Characters>1827</Characters>
  <Lines>0</Lines>
  <Paragraphs>0</Paragraphs>
  <TotalTime>48</TotalTime>
  <ScaleCrop>false</ScaleCrop>
  <LinksUpToDate>false</LinksUpToDate>
  <CharactersWithSpaces>1832</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2026-09-03T15:05:00Z</dcterms:created>
  <dc:creator>HC</dc:creator>
  <cp:lastModifiedBy>ysgz</cp:lastModifiedBy>
  <cp:lastPrinted>2026-09-22T15:10:55Z</cp:lastPrinted>
  <dcterms:modified xsi:type="dcterms:W3CDTF">2026-09-22T15:41:13Z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KSOTemplateDocerSaveRecord">
    <vt:lpwstr>eyJoZGlkIjoiN2YzNjBkOTgyNWQ1YTMxYzM3MzMwNWFiODNmOWIzYWMiLCJ1c2VySWQiOiI4Mjc5MTIyODIifQ==</vt:lpwstr>
  </property>
  <property fmtid="{D5CDD505-2E9C-101B-9397-08002B2CF9AE}" pid="4" name="ICV">
    <vt:lpwstr>99CFE3CE207D26E9A426B26A146BDF8D</vt:lpwstr>
  </property>
</Properties>
</file>