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附件１</w:t>
      </w:r>
    </w:p>
    <w:p>
      <w:pPr>
        <w:spacing w:line="640" w:lineRule="exact"/>
        <w:rPr>
          <w:rFonts w:ascii="方正黑体_GBK" w:hAnsi="方正黑体_GBK" w:eastAsia="方正黑体_GBK" w:cs="方正黑体_GBK"/>
          <w:sz w:val="32"/>
          <w:szCs w:val="32"/>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贵州省自然资源厅部级科技创新平台</w:t>
      </w:r>
    </w:p>
    <w:p>
      <w:pPr>
        <w:spacing w:line="64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2026</w:t>
      </w:r>
      <w:r>
        <w:rPr>
          <w:rFonts w:hint="eastAsia" w:ascii="方正小标宋简体" w:hAnsi="方正小标宋简体" w:eastAsia="方正小标宋简体" w:cs="方正小标宋简体"/>
          <w:sz w:val="44"/>
          <w:szCs w:val="44"/>
        </w:rPr>
        <w:t>年开放课题资助指南</w:t>
      </w:r>
    </w:p>
    <w:p>
      <w:pPr>
        <w:spacing w:line="640" w:lineRule="exact"/>
        <w:jc w:val="center"/>
        <w:rPr>
          <w:rFonts w:ascii="方正小标宋简体" w:hAnsi="方正小标宋简体" w:eastAsia="方正小标宋简体" w:cs="方正小标宋简体"/>
          <w:sz w:val="44"/>
          <w:szCs w:val="44"/>
        </w:rPr>
      </w:pPr>
    </w:p>
    <w:p>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一、资助方向</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（一）自然资源部复杂构造区非常规天然气评价与开发重点实验室开放课题</w:t>
      </w:r>
    </w:p>
    <w:p>
      <w:pPr>
        <w:spacing w:line="560" w:lineRule="exact"/>
        <w:ind w:firstLine="642" w:firstLineChars="200"/>
        <w:rPr>
          <w:rFonts w:ascii="仿宋_GB2312" w:hAnsi="仿宋_GB2312" w:eastAsia="仿宋_GB2312" w:cs="仿宋_GB2312"/>
          <w:b/>
          <w:bCs/>
          <w:sz w:val="32"/>
          <w:szCs w:val="32"/>
        </w:rPr>
      </w:pPr>
      <w:r>
        <w:rPr>
          <w:rFonts w:hint="eastAsia" w:ascii="Times New Roman" w:hAnsi="Times New Roman" w:eastAsia="仿宋_GB2312"/>
          <w:b/>
          <w:bCs/>
          <w:kern w:val="0"/>
          <w:sz w:val="32"/>
          <w:szCs w:val="32"/>
          <w:lang w:bidi="ar"/>
        </w:rPr>
        <w:t>1</w:t>
      </w:r>
      <w:r>
        <w:rPr>
          <w:rFonts w:hint="eastAsia" w:ascii="仿宋_GB2312" w:hAnsi="仿宋_GB2312" w:eastAsia="仿宋_GB2312" w:cs="仿宋_GB2312"/>
          <w:b/>
          <w:bCs/>
          <w:sz w:val="32"/>
          <w:szCs w:val="32"/>
        </w:rPr>
        <w:t>.重点课题</w:t>
      </w:r>
    </w:p>
    <w:p>
      <w:pPr>
        <w:spacing w:line="560" w:lineRule="exact"/>
        <w:ind w:firstLine="642" w:firstLineChars="200"/>
        <w:rPr>
          <w:rFonts w:ascii="Times New Roman" w:hAnsi="Times New Roman" w:eastAsia="仿宋_GB2312"/>
          <w:kern w:val="0"/>
          <w:sz w:val="32"/>
          <w:szCs w:val="32"/>
          <w:lang w:bidi="ar"/>
        </w:rPr>
      </w:pPr>
      <w:r>
        <w:rPr>
          <w:rFonts w:hint="eastAsia" w:ascii="Times New Roman" w:hAnsi="Times New Roman" w:eastAsia="仿宋_GB2312"/>
          <w:b/>
          <w:bCs/>
          <w:kern w:val="0"/>
          <w:sz w:val="32"/>
          <w:szCs w:val="32"/>
          <w:lang w:bidi="ar"/>
        </w:rPr>
        <w:t>（</w:t>
      </w:r>
      <w:r>
        <w:rPr>
          <w:rFonts w:ascii="Times New Roman" w:hAnsi="Times New Roman" w:eastAsia="仿宋_GB2312"/>
          <w:b/>
          <w:bCs/>
          <w:kern w:val="0"/>
          <w:sz w:val="32"/>
          <w:szCs w:val="32"/>
          <w:lang w:bidi="ar"/>
        </w:rPr>
        <w:t>1</w:t>
      </w:r>
      <w:r>
        <w:rPr>
          <w:rFonts w:hint="eastAsia" w:ascii="Times New Roman" w:hAnsi="Times New Roman" w:eastAsia="仿宋_GB2312"/>
          <w:b/>
          <w:bCs/>
          <w:kern w:val="0"/>
          <w:sz w:val="32"/>
          <w:szCs w:val="32"/>
          <w:lang w:bidi="ar"/>
        </w:rPr>
        <w:t>）页岩成岩作用与孔隙协同演化特征研究。</w:t>
      </w:r>
      <w:r>
        <w:rPr>
          <w:rFonts w:hint="eastAsia" w:ascii="Times New Roman" w:hAnsi="Times New Roman" w:eastAsia="仿宋_GB2312"/>
          <w:kern w:val="0"/>
          <w:sz w:val="32"/>
          <w:szCs w:val="32"/>
          <w:lang w:bidi="ar"/>
        </w:rPr>
        <w:t>贵州地区牛蹄塘组页岩无机组分的成岩作用类型、特征及成岩序列；页岩有机成岩作用类型、特征及演化过程；页岩无机-有机成岩作用下孔隙协同演化特征</w:t>
      </w:r>
      <w:r>
        <w:rPr>
          <w:rFonts w:ascii="Times New Roman" w:hAnsi="Times New Roman" w:eastAsia="仿宋_GB2312"/>
          <w:kern w:val="0"/>
          <w:sz w:val="32"/>
          <w:szCs w:val="32"/>
          <w:lang w:bidi="ar"/>
        </w:rPr>
        <w:t>。</w:t>
      </w:r>
    </w:p>
    <w:p>
      <w:pPr>
        <w:spacing w:line="560" w:lineRule="exact"/>
        <w:ind w:firstLine="642" w:firstLineChars="200"/>
        <w:rPr>
          <w:rFonts w:ascii="Times New Roman" w:hAnsi="Times New Roman" w:eastAsia="仿宋_GB2312"/>
          <w:kern w:val="0"/>
          <w:sz w:val="32"/>
          <w:szCs w:val="32"/>
          <w:lang w:bidi="ar"/>
        </w:rPr>
      </w:pPr>
      <w:r>
        <w:rPr>
          <w:rFonts w:hint="eastAsia" w:ascii="Times New Roman" w:hAnsi="Times New Roman" w:eastAsia="仿宋_GB2312"/>
          <w:b/>
          <w:bCs/>
          <w:kern w:val="0"/>
          <w:sz w:val="32"/>
          <w:szCs w:val="32"/>
          <w:lang w:bidi="ar"/>
        </w:rPr>
        <w:t>（</w:t>
      </w:r>
      <w:r>
        <w:rPr>
          <w:rFonts w:ascii="Times New Roman" w:hAnsi="Times New Roman" w:eastAsia="仿宋_GB2312"/>
          <w:b/>
          <w:bCs/>
          <w:kern w:val="0"/>
          <w:sz w:val="32"/>
          <w:szCs w:val="32"/>
          <w:lang w:bidi="ar"/>
        </w:rPr>
        <w:t>2</w:t>
      </w:r>
      <w:r>
        <w:rPr>
          <w:rFonts w:hint="eastAsia" w:ascii="Times New Roman" w:hAnsi="Times New Roman" w:eastAsia="仿宋_GB2312"/>
          <w:b/>
          <w:bCs/>
          <w:kern w:val="0"/>
          <w:sz w:val="32"/>
          <w:szCs w:val="32"/>
          <w:lang w:bidi="ar"/>
        </w:rPr>
        <w:t>）</w:t>
      </w:r>
      <w:r>
        <w:rPr>
          <w:rFonts w:ascii="Times New Roman" w:hAnsi="Times New Roman" w:eastAsia="仿宋_GB2312"/>
          <w:b/>
          <w:bCs/>
          <w:kern w:val="0"/>
          <w:sz w:val="32"/>
          <w:szCs w:val="32"/>
          <w:lang w:bidi="ar"/>
        </w:rPr>
        <w:t>黔西煤岩变形破坏特征及地质力学特征评价。</w:t>
      </w:r>
      <w:r>
        <w:rPr>
          <w:rFonts w:ascii="Times New Roman" w:hAnsi="Times New Roman" w:eastAsia="仿宋_GB2312"/>
          <w:kern w:val="0"/>
          <w:sz w:val="32"/>
          <w:szCs w:val="32"/>
          <w:lang w:bidi="ar"/>
        </w:rPr>
        <w:t>黔西深部煤岩多受载条件下变形破坏特征及岩石物理特征研究</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煤岩变形破坏的地球物理响应规律</w:t>
      </w:r>
      <w:r>
        <w:rPr>
          <w:rFonts w:hint="eastAsia" w:ascii="Times New Roman" w:hAnsi="Times New Roman" w:eastAsia="仿宋_GB2312"/>
          <w:kern w:val="0"/>
          <w:sz w:val="32"/>
          <w:szCs w:val="32"/>
          <w:lang w:bidi="ar"/>
        </w:rPr>
        <w:t>；</w:t>
      </w:r>
      <w:r>
        <w:rPr>
          <w:rFonts w:ascii="Times New Roman" w:hAnsi="Times New Roman" w:eastAsia="仿宋_GB2312"/>
          <w:kern w:val="0"/>
          <w:sz w:val="32"/>
          <w:szCs w:val="32"/>
          <w:lang w:bidi="ar"/>
        </w:rPr>
        <w:t>融合跨频段声波传播特征、测井信息、地震信息的深部煤岩地质力学参数区域化理论与技术</w:t>
      </w:r>
      <w:r>
        <w:rPr>
          <w:rFonts w:hint="eastAsia" w:ascii="Times New Roman" w:hAnsi="Times New Roman" w:eastAsia="仿宋_GB2312"/>
          <w:kern w:val="0"/>
          <w:sz w:val="32"/>
          <w:szCs w:val="32"/>
          <w:lang w:bidi="ar"/>
        </w:rPr>
        <w:t>研究</w:t>
      </w:r>
      <w:r>
        <w:rPr>
          <w:rFonts w:ascii="Times New Roman" w:hAnsi="Times New Roman" w:eastAsia="仿宋_GB2312"/>
          <w:kern w:val="0"/>
          <w:sz w:val="32"/>
          <w:szCs w:val="32"/>
          <w:lang w:bidi="ar"/>
        </w:rPr>
        <w:t>。</w:t>
      </w:r>
    </w:p>
    <w:p>
      <w:pPr>
        <w:spacing w:line="560" w:lineRule="exact"/>
        <w:ind w:firstLine="642" w:firstLineChars="200"/>
        <w:rPr>
          <w:rFonts w:ascii="Times New Roman" w:hAnsi="Times New Roman" w:eastAsia="仿宋_GB2312"/>
          <w:kern w:val="0"/>
          <w:sz w:val="32"/>
          <w:szCs w:val="32"/>
          <w:lang w:bidi="ar"/>
        </w:rPr>
      </w:pPr>
      <w:r>
        <w:rPr>
          <w:rFonts w:hint="eastAsia" w:ascii="Times New Roman" w:hAnsi="Times New Roman" w:eastAsia="仿宋_GB2312"/>
          <w:b/>
          <w:bCs/>
          <w:kern w:val="0"/>
          <w:sz w:val="32"/>
          <w:szCs w:val="32"/>
          <w:lang w:bidi="ar"/>
        </w:rPr>
        <w:t>（</w:t>
      </w:r>
      <w:r>
        <w:rPr>
          <w:rFonts w:ascii="Times New Roman" w:hAnsi="Times New Roman" w:eastAsia="仿宋_GB2312"/>
          <w:b/>
          <w:bCs/>
          <w:kern w:val="0"/>
          <w:sz w:val="32"/>
          <w:szCs w:val="32"/>
          <w:lang w:bidi="ar"/>
        </w:rPr>
        <w:t>3</w:t>
      </w:r>
      <w:r>
        <w:rPr>
          <w:rFonts w:hint="eastAsia" w:ascii="Times New Roman" w:hAnsi="Times New Roman" w:eastAsia="仿宋_GB2312"/>
          <w:b/>
          <w:bCs/>
          <w:kern w:val="0"/>
          <w:sz w:val="32"/>
          <w:szCs w:val="32"/>
          <w:lang w:bidi="ar"/>
        </w:rPr>
        <w:t>）</w:t>
      </w:r>
      <w:r>
        <w:rPr>
          <w:rFonts w:ascii="Times New Roman" w:hAnsi="Times New Roman" w:eastAsia="仿宋_GB2312"/>
          <w:b/>
          <w:bCs/>
          <w:kern w:val="0"/>
          <w:sz w:val="32"/>
          <w:szCs w:val="32"/>
          <w:lang w:bidi="ar"/>
        </w:rPr>
        <w:t>煤层气井煤粉结垢机理及超疏水防垢调控。</w:t>
      </w:r>
      <w:r>
        <w:rPr>
          <w:rFonts w:ascii="Times New Roman" w:hAnsi="Times New Roman" w:eastAsia="仿宋_GB2312"/>
          <w:kern w:val="0"/>
          <w:sz w:val="32"/>
          <w:szCs w:val="32"/>
          <w:lang w:bidi="ar"/>
        </w:rPr>
        <w:t>贵州省典型煤层气压裂井返排液煤粉物化特性与运移规律；煤粉沉积量与返排液组分、流场、管柱表面特性定量表征；煤粉金属表面沉积、电化学腐蚀及压裂返排液结垢机理；长效超疏水涂层、防垢性能及产气性能改善效果。</w:t>
      </w:r>
    </w:p>
    <w:p>
      <w:pPr>
        <w:spacing w:line="560" w:lineRule="exact"/>
        <w:ind w:firstLine="642" w:firstLineChars="200"/>
        <w:rPr>
          <w:rFonts w:ascii="仿宋_GB2312" w:hAnsi="仿宋_GB2312" w:eastAsia="仿宋_GB2312" w:cs="仿宋_GB2312"/>
          <w:b/>
          <w:bCs/>
          <w:kern w:val="0"/>
          <w:sz w:val="32"/>
          <w:szCs w:val="32"/>
          <w:lang w:bidi="ar"/>
        </w:rPr>
      </w:pPr>
      <w:r>
        <w:rPr>
          <w:rFonts w:hint="eastAsia" w:ascii="Times New Roman" w:hAnsi="Times New Roman" w:eastAsia="仿宋_GB2312"/>
          <w:b/>
          <w:bCs/>
          <w:kern w:val="0"/>
          <w:sz w:val="32"/>
          <w:szCs w:val="32"/>
          <w:lang w:bidi="ar"/>
        </w:rPr>
        <w:t>2</w:t>
      </w:r>
      <w:r>
        <w:rPr>
          <w:rFonts w:hint="eastAsia" w:ascii="仿宋_GB2312" w:hAnsi="仿宋_GB2312" w:eastAsia="仿宋_GB2312" w:cs="仿宋_GB2312"/>
          <w:b/>
          <w:bCs/>
          <w:kern w:val="0"/>
          <w:sz w:val="32"/>
          <w:szCs w:val="32"/>
          <w:lang w:bidi="ar"/>
        </w:rPr>
        <w:t>.基础课题</w:t>
      </w:r>
    </w:p>
    <w:p>
      <w:pPr>
        <w:spacing w:line="560" w:lineRule="exact"/>
        <w:ind w:firstLine="642" w:firstLineChars="200"/>
        <w:rPr>
          <w:rFonts w:ascii="Times New Roman" w:hAnsi="Times New Roman" w:eastAsia="仿宋_GB2312"/>
          <w:kern w:val="0"/>
          <w:sz w:val="32"/>
          <w:szCs w:val="32"/>
          <w:lang w:bidi="ar"/>
        </w:rPr>
      </w:pPr>
      <w:r>
        <w:rPr>
          <w:rFonts w:hint="eastAsia" w:ascii="Times New Roman" w:hAnsi="Times New Roman" w:eastAsia="仿宋_GB2312"/>
          <w:b/>
          <w:bCs/>
          <w:kern w:val="0"/>
          <w:sz w:val="32"/>
          <w:szCs w:val="32"/>
          <w:lang w:bidi="ar"/>
        </w:rPr>
        <w:t>（</w:t>
      </w:r>
      <w:r>
        <w:rPr>
          <w:rFonts w:ascii="Times New Roman" w:hAnsi="Times New Roman" w:eastAsia="仿宋_GB2312"/>
          <w:b/>
          <w:bCs/>
          <w:kern w:val="0"/>
          <w:sz w:val="32"/>
          <w:szCs w:val="32"/>
          <w:lang w:bidi="ar"/>
        </w:rPr>
        <w:t>1</w:t>
      </w:r>
      <w:r>
        <w:rPr>
          <w:rFonts w:hint="eastAsia" w:ascii="Times New Roman" w:hAnsi="Times New Roman" w:eastAsia="仿宋_GB2312"/>
          <w:b/>
          <w:bCs/>
          <w:kern w:val="0"/>
          <w:sz w:val="32"/>
          <w:szCs w:val="32"/>
          <w:lang w:bidi="ar"/>
        </w:rPr>
        <w:t>）</w:t>
      </w:r>
      <w:r>
        <w:rPr>
          <w:rFonts w:ascii="Times New Roman" w:hAnsi="Times New Roman" w:eastAsia="仿宋_GB2312"/>
          <w:b/>
          <w:bCs/>
          <w:kern w:val="0"/>
          <w:sz w:val="32"/>
          <w:szCs w:val="32"/>
          <w:lang w:bidi="ar"/>
        </w:rPr>
        <w:t>黔南下石炭统重力流沉积及对页岩的控制机理。</w:t>
      </w:r>
      <w:r>
        <w:rPr>
          <w:rFonts w:ascii="Times New Roman" w:hAnsi="Times New Roman" w:eastAsia="仿宋_GB2312"/>
          <w:kern w:val="0"/>
          <w:sz w:val="32"/>
          <w:szCs w:val="32"/>
          <w:lang w:bidi="ar"/>
        </w:rPr>
        <w:t>黔南紫云-墩操地区下石炭统打屋坝组重力流沉积特征、识别标志及岩相类型；重力流沉积时空展布与页岩耦合关系；重力流发育区与页岩有利层空间配置规律及控制机理；重力流约束下的页岩有利区段预测方法。</w:t>
      </w:r>
    </w:p>
    <w:p>
      <w:pPr>
        <w:spacing w:line="560" w:lineRule="exact"/>
        <w:ind w:firstLine="642" w:firstLineChars="200"/>
        <w:rPr>
          <w:rFonts w:ascii="Times New Roman" w:hAnsi="Times New Roman" w:eastAsia="仿宋_GB2312"/>
          <w:kern w:val="0"/>
          <w:sz w:val="32"/>
          <w:szCs w:val="32"/>
          <w:lang w:bidi="ar"/>
        </w:rPr>
      </w:pPr>
      <w:r>
        <w:rPr>
          <w:rFonts w:hint="eastAsia" w:ascii="Times New Roman" w:hAnsi="Times New Roman" w:eastAsia="仿宋_GB2312"/>
          <w:b/>
          <w:bCs/>
          <w:kern w:val="0"/>
          <w:sz w:val="32"/>
          <w:szCs w:val="32"/>
          <w:lang w:bidi="ar"/>
        </w:rPr>
        <w:t>（</w:t>
      </w:r>
      <w:r>
        <w:rPr>
          <w:rFonts w:ascii="Times New Roman" w:hAnsi="Times New Roman" w:eastAsia="仿宋_GB2312"/>
          <w:b/>
          <w:bCs/>
          <w:kern w:val="0"/>
          <w:sz w:val="32"/>
          <w:szCs w:val="32"/>
          <w:lang w:bidi="ar"/>
        </w:rPr>
        <w:t>2</w:t>
      </w:r>
      <w:r>
        <w:rPr>
          <w:rFonts w:hint="eastAsia" w:ascii="Times New Roman" w:hAnsi="Times New Roman" w:eastAsia="仿宋_GB2312"/>
          <w:b/>
          <w:bCs/>
          <w:kern w:val="0"/>
          <w:sz w:val="32"/>
          <w:szCs w:val="32"/>
          <w:lang w:bidi="ar"/>
        </w:rPr>
        <w:t>）</w:t>
      </w:r>
      <w:r>
        <w:rPr>
          <w:rFonts w:ascii="Times New Roman" w:hAnsi="Times New Roman" w:eastAsia="仿宋_GB2312"/>
          <w:b/>
          <w:bCs/>
          <w:kern w:val="0"/>
          <w:sz w:val="32"/>
          <w:szCs w:val="32"/>
          <w:lang w:bidi="ar"/>
        </w:rPr>
        <w:t>支撑裂缝内煤粉吸附-团聚-堵塞机制研究。</w:t>
      </w:r>
      <w:r>
        <w:rPr>
          <w:rFonts w:ascii="Times New Roman" w:hAnsi="Times New Roman" w:eastAsia="仿宋_GB2312"/>
          <w:kern w:val="0"/>
          <w:sz w:val="32"/>
          <w:szCs w:val="32"/>
          <w:lang w:bidi="ar"/>
        </w:rPr>
        <w:t>黔西构造发育区煤层气井支撑裂缝</w:t>
      </w:r>
      <w:r>
        <w:rPr>
          <w:rFonts w:hint="eastAsia" w:ascii="Times New Roman" w:hAnsi="Times New Roman" w:eastAsia="仿宋_GB2312"/>
          <w:kern w:val="0"/>
          <w:sz w:val="32"/>
          <w:szCs w:val="32"/>
          <w:lang w:bidi="ar"/>
        </w:rPr>
        <w:t>内</w:t>
      </w:r>
      <w:r>
        <w:rPr>
          <w:rFonts w:ascii="Times New Roman" w:hAnsi="Times New Roman" w:eastAsia="仿宋_GB2312"/>
          <w:kern w:val="0"/>
          <w:sz w:val="32"/>
          <w:szCs w:val="32"/>
          <w:lang w:bidi="ar"/>
        </w:rPr>
        <w:t>煤粉在密集堆积支撑砂体中堵塞机制</w:t>
      </w:r>
      <w:r>
        <w:rPr>
          <w:rFonts w:hint="eastAsia" w:ascii="Times New Roman" w:hAnsi="Times New Roman" w:eastAsia="仿宋_GB2312"/>
          <w:kern w:val="0"/>
          <w:sz w:val="32"/>
          <w:szCs w:val="32"/>
          <w:lang w:bidi="ar"/>
        </w:rPr>
        <w:t>研究；匹配煤粉堵塞的分散剂优选</w:t>
      </w:r>
      <w:r>
        <w:rPr>
          <w:rFonts w:ascii="Times New Roman" w:hAnsi="Times New Roman" w:eastAsia="仿宋_GB2312"/>
          <w:kern w:val="0"/>
          <w:sz w:val="32"/>
          <w:szCs w:val="32"/>
          <w:lang w:bidi="ar"/>
        </w:rPr>
        <w:t>。</w:t>
      </w:r>
    </w:p>
    <w:p>
      <w:pPr>
        <w:spacing w:line="560" w:lineRule="exact"/>
        <w:ind w:firstLine="642" w:firstLineChars="200"/>
        <w:rPr>
          <w:rFonts w:ascii="Times New Roman" w:hAnsi="Times New Roman" w:eastAsia="仿宋_GB2312"/>
          <w:kern w:val="0"/>
          <w:sz w:val="32"/>
          <w:szCs w:val="32"/>
          <w:lang w:bidi="ar"/>
        </w:rPr>
      </w:pPr>
      <w:r>
        <w:rPr>
          <w:rFonts w:hint="eastAsia" w:ascii="Times New Roman" w:hAnsi="Times New Roman" w:eastAsia="仿宋_GB2312"/>
          <w:b/>
          <w:bCs/>
          <w:kern w:val="0"/>
          <w:sz w:val="32"/>
          <w:szCs w:val="32"/>
          <w:lang w:bidi="ar"/>
        </w:rPr>
        <w:t>（</w:t>
      </w:r>
      <w:r>
        <w:rPr>
          <w:rFonts w:ascii="Times New Roman" w:hAnsi="Times New Roman" w:eastAsia="仿宋_GB2312"/>
          <w:b/>
          <w:bCs/>
          <w:kern w:val="0"/>
          <w:sz w:val="32"/>
          <w:szCs w:val="32"/>
          <w:lang w:bidi="ar"/>
        </w:rPr>
        <w:t>3</w:t>
      </w:r>
      <w:r>
        <w:rPr>
          <w:rFonts w:hint="eastAsia" w:ascii="Times New Roman" w:hAnsi="Times New Roman" w:eastAsia="仿宋_GB2312"/>
          <w:b/>
          <w:bCs/>
          <w:kern w:val="0"/>
          <w:sz w:val="32"/>
          <w:szCs w:val="32"/>
          <w:lang w:bidi="ar"/>
        </w:rPr>
        <w:t>）</w:t>
      </w:r>
      <w:r>
        <w:rPr>
          <w:rFonts w:ascii="Times New Roman" w:hAnsi="Times New Roman" w:eastAsia="仿宋_GB2312"/>
          <w:b/>
          <w:bCs/>
          <w:kern w:val="0"/>
          <w:sz w:val="32"/>
          <w:szCs w:val="32"/>
          <w:lang w:bidi="ar"/>
        </w:rPr>
        <w:t>煤层气排采井井底流压智能调控技术研究。</w:t>
      </w:r>
      <w:r>
        <w:rPr>
          <w:rFonts w:ascii="Times New Roman" w:hAnsi="Times New Roman" w:eastAsia="仿宋_GB2312"/>
          <w:kern w:val="0"/>
          <w:sz w:val="32"/>
          <w:szCs w:val="32"/>
          <w:lang w:bidi="ar"/>
        </w:rPr>
        <w:t>贵州典型煤层气井排采管控参数的波动特征与主控因素；</w:t>
      </w:r>
      <w:r>
        <w:rPr>
          <w:rFonts w:hint="eastAsia" w:ascii="Times New Roman" w:hAnsi="Times New Roman" w:eastAsia="仿宋_GB2312"/>
          <w:kern w:val="0"/>
          <w:sz w:val="32"/>
          <w:szCs w:val="32"/>
          <w:lang w:bidi="ar"/>
        </w:rPr>
        <w:t>人工智能</w:t>
      </w:r>
      <w:r>
        <w:rPr>
          <w:rFonts w:ascii="Times New Roman" w:hAnsi="Times New Roman" w:eastAsia="仿宋_GB2312"/>
          <w:kern w:val="0"/>
          <w:sz w:val="32"/>
          <w:szCs w:val="32"/>
          <w:lang w:bidi="ar"/>
        </w:rPr>
        <w:t>驱动的井底流压波动高精度时序预测模型；煤层气井分阶段排采管控优化方案与智能排采调控技术框架。</w:t>
      </w:r>
    </w:p>
    <w:p>
      <w:p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（二）自然资源部贵州喀斯特山地国土生态与土地利用野外科学观测研究站开放课题</w:t>
      </w:r>
    </w:p>
    <w:p>
      <w:pPr>
        <w:spacing w:line="560" w:lineRule="exact"/>
        <w:ind w:firstLine="642" w:firstLineChars="200"/>
        <w:rPr>
          <w:rFonts w:ascii="Times New Roman" w:hAnsi="Times New Roman" w:eastAsia="仿宋_GB2312"/>
          <w:sz w:val="32"/>
          <w:szCs w:val="32"/>
        </w:rPr>
      </w:pPr>
      <w:r>
        <w:rPr>
          <w:rFonts w:hint="eastAsia" w:ascii="Times New Roman" w:hAnsi="Times New Roman" w:eastAsia="仿宋_GB2312"/>
          <w:b/>
          <w:bCs/>
          <w:kern w:val="0"/>
          <w:sz w:val="32"/>
          <w:szCs w:val="32"/>
          <w:lang w:bidi="ar"/>
        </w:rPr>
        <w:t>1.</w:t>
      </w:r>
      <w:r>
        <w:rPr>
          <w:rFonts w:hint="eastAsia" w:ascii="仿宋_GB2312" w:hAnsi="仿宋_GB2312" w:eastAsia="仿宋_GB2312" w:cs="仿宋_GB2312"/>
          <w:b/>
          <w:bCs/>
          <w:sz w:val="32"/>
          <w:szCs w:val="32"/>
        </w:rPr>
        <w:t>喀斯特复杂场景土地覆盖遥感智能解译研究。</w:t>
      </w:r>
      <w:r>
        <w:rPr>
          <w:rFonts w:hint="eastAsia" w:ascii="Times New Roman" w:hAnsi="Times New Roman" w:eastAsia="仿宋_GB2312"/>
          <w:sz w:val="32"/>
          <w:szCs w:val="32"/>
        </w:rPr>
        <w:t>喀斯特复杂场景地貌单元识别与分区；土地覆盖类型的空间分布特征及差异分析，土地利用覆盖解译精度提升研究。</w:t>
      </w:r>
    </w:p>
    <w:p>
      <w:pPr>
        <w:spacing w:line="560" w:lineRule="exact"/>
        <w:ind w:firstLine="642" w:firstLineChars="200"/>
        <w:rPr>
          <w:rFonts w:ascii="Times New Roman" w:hAnsi="Times New Roman" w:eastAsia="仿宋_GB2312"/>
          <w:sz w:val="32"/>
          <w:szCs w:val="32"/>
        </w:rPr>
      </w:pPr>
      <w:r>
        <w:rPr>
          <w:rFonts w:ascii="Times New Roman" w:hAnsi="Times New Roman" w:eastAsia="仿宋_GB2312"/>
          <w:b/>
          <w:bCs/>
          <w:kern w:val="0"/>
          <w:sz w:val="32"/>
          <w:szCs w:val="32"/>
          <w:lang w:bidi="ar"/>
        </w:rPr>
        <w:t>2.</w:t>
      </w:r>
      <w:r>
        <w:rPr>
          <w:rFonts w:hint="eastAsia" w:ascii="Times New Roman" w:hAnsi="Times New Roman" w:eastAsia="仿宋_GB2312"/>
          <w:b/>
          <w:bCs/>
          <w:kern w:val="0"/>
          <w:sz w:val="32"/>
          <w:szCs w:val="32"/>
          <w:lang w:bidi="ar"/>
        </w:rPr>
        <w:t>喀斯特山区林耕空间布局优化研究。</w:t>
      </w:r>
      <w:r>
        <w:rPr>
          <w:rFonts w:hint="eastAsia" w:ascii="Times New Roman" w:hAnsi="Times New Roman" w:eastAsia="仿宋_GB2312"/>
          <w:sz w:val="32"/>
          <w:szCs w:val="32"/>
        </w:rPr>
        <w:t>喀斯特山区林耕空间布局优化研究。喀斯特山区林耕空间现状、利用特征分析；实施林耕空间优化过程中面临的现实困境；优化林耕空间布局的政策。</w:t>
      </w:r>
    </w:p>
    <w:p>
      <w:pPr>
        <w:spacing w:line="560" w:lineRule="exact"/>
        <w:ind w:firstLine="642" w:firstLineChars="200"/>
        <w:rPr>
          <w:rFonts w:ascii="Times New Roman" w:hAnsi="Times New Roman" w:eastAsia="仿宋_GB2312"/>
          <w:sz w:val="32"/>
          <w:szCs w:val="32"/>
        </w:rPr>
      </w:pPr>
      <w:r>
        <w:rPr>
          <w:rFonts w:ascii="Times New Roman" w:hAnsi="Times New Roman" w:eastAsia="仿宋_GB2312"/>
          <w:b/>
          <w:bCs/>
          <w:kern w:val="0"/>
          <w:sz w:val="32"/>
          <w:szCs w:val="32"/>
          <w:lang w:bidi="ar"/>
        </w:rPr>
        <w:t>3.</w:t>
      </w:r>
      <w:r>
        <w:rPr>
          <w:rFonts w:hint="eastAsia" w:ascii="Times New Roman" w:hAnsi="Times New Roman" w:eastAsia="仿宋_GB2312"/>
          <w:b/>
          <w:bCs/>
          <w:kern w:val="0"/>
          <w:sz w:val="32"/>
          <w:szCs w:val="32"/>
          <w:lang w:bidi="ar"/>
        </w:rPr>
        <w:t>喀斯特山区“三生”空间布局优化研究。</w:t>
      </w:r>
      <w:r>
        <w:rPr>
          <w:rFonts w:hint="eastAsia" w:ascii="Times New Roman" w:hAnsi="Times New Roman" w:eastAsia="仿宋_GB2312"/>
          <w:sz w:val="32"/>
          <w:szCs w:val="32"/>
        </w:rPr>
        <w:t>喀斯特山区“三生”空间现状，时空特征演化驱动机制；多情景下“三生”空间布局优化；喀斯特山区“三生”空间优化策略与调控路径。</w:t>
      </w:r>
    </w:p>
    <w:p>
      <w:pPr>
        <w:spacing w:line="560" w:lineRule="exact"/>
        <w:ind w:firstLine="642" w:firstLineChars="200"/>
        <w:rPr>
          <w:rFonts w:ascii="Times New Roman" w:hAnsi="Times New Roman" w:eastAsia="仿宋_GB2312"/>
          <w:sz w:val="32"/>
          <w:szCs w:val="32"/>
        </w:rPr>
      </w:pPr>
      <w:r>
        <w:rPr>
          <w:rFonts w:hint="eastAsia" w:ascii="Times New Roman" w:hAnsi="Times New Roman" w:eastAsia="仿宋_GB2312"/>
          <w:b/>
          <w:bCs/>
          <w:kern w:val="0"/>
          <w:sz w:val="32"/>
          <w:szCs w:val="32"/>
          <w:lang w:bidi="ar"/>
        </w:rPr>
        <w:t>4.</w:t>
      </w:r>
      <w:r>
        <w:rPr>
          <w:rFonts w:hint="eastAsia" w:ascii="仿宋_GB2312" w:hAnsi="仿宋_GB2312" w:eastAsia="仿宋_GB2312" w:cs="仿宋_GB2312"/>
          <w:b/>
          <w:bCs/>
          <w:kern w:val="0"/>
          <w:sz w:val="32"/>
          <w:szCs w:val="32"/>
          <w:lang w:bidi="ar"/>
        </w:rPr>
        <w:t>喀斯特山区乡村微气候下人居环境质量评价研究。</w:t>
      </w:r>
      <w:r>
        <w:rPr>
          <w:rFonts w:hint="eastAsia" w:ascii="仿宋_GB2312" w:hAnsi="仿宋_GB2312" w:eastAsia="仿宋_GB2312" w:cs="仿宋_GB2312"/>
          <w:kern w:val="0"/>
          <w:sz w:val="32"/>
          <w:szCs w:val="32"/>
          <w:lang w:bidi="ar"/>
        </w:rPr>
        <w:t>基于多源数据整合的喀斯特山区乡村微气候特征识别及其耦合机制解析；乡村人居环境微气候适应性优化策略</w:t>
      </w:r>
      <w:r>
        <w:rPr>
          <w:rFonts w:hint="eastAsia" w:ascii="Times New Roman" w:hAnsi="Times New Roman" w:eastAsia="仿宋_GB2312"/>
          <w:sz w:val="32"/>
          <w:szCs w:val="32"/>
        </w:rPr>
        <w:t>。</w:t>
      </w:r>
    </w:p>
    <w:p>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二、资助额度及研究周期</w:t>
      </w:r>
    </w:p>
    <w:p>
      <w:pPr>
        <w:spacing w:line="560" w:lineRule="exact"/>
        <w:ind w:firstLine="642" w:firstLineChars="200"/>
        <w:rPr>
          <w:rFonts w:ascii="楷体_GB2312" w:hAnsi="楷体_GB2312" w:eastAsia="楷体_GB2312" w:cs="楷体_GB2312"/>
          <w:sz w:val="32"/>
          <w:szCs w:val="32"/>
        </w:rPr>
      </w:pPr>
      <w:r>
        <w:rPr>
          <w:rFonts w:hint="eastAsia" w:ascii="Times New Roman" w:hAnsi="Times New Roman" w:eastAsia="仿宋_GB2312"/>
          <w:b/>
          <w:bCs/>
          <w:sz w:val="32"/>
          <w:szCs w:val="32"/>
        </w:rPr>
        <w:t>（一）</w:t>
      </w:r>
      <w:r>
        <w:rPr>
          <w:rFonts w:hint="eastAsia" w:ascii="楷体_GB2312" w:hAnsi="楷体_GB2312" w:eastAsia="楷体_GB2312" w:cs="楷体_GB2312"/>
          <w:sz w:val="32"/>
          <w:szCs w:val="32"/>
        </w:rPr>
        <w:t>自然资源部复杂构造区非常规天然气评价与开发重点实验室开放课题</w:t>
      </w:r>
    </w:p>
    <w:p>
      <w:pPr>
        <w:spacing w:line="560" w:lineRule="exact"/>
        <w:ind w:firstLine="642" w:firstLineChars="200"/>
        <w:rPr>
          <w:rFonts w:ascii="Times New Roman" w:hAnsi="Times New Roman" w:eastAsia="仿宋_GB2312"/>
          <w:color w:val="000000"/>
          <w:kern w:val="0"/>
          <w:sz w:val="32"/>
          <w:szCs w:val="32"/>
          <w:lang w:bidi="ar"/>
        </w:rPr>
      </w:pPr>
      <w:r>
        <w:rPr>
          <w:rFonts w:hint="eastAsia" w:ascii="Times New Roman" w:hAnsi="Times New Roman" w:eastAsia="仿宋_GB2312"/>
          <w:b/>
          <w:bCs/>
          <w:sz w:val="32"/>
          <w:szCs w:val="32"/>
        </w:rPr>
        <w:t>1</w:t>
      </w:r>
      <w:r>
        <w:rPr>
          <w:rFonts w:hint="eastAsia" w:ascii="仿宋_GB2312" w:hAnsi="仿宋_GB2312" w:eastAsia="仿宋_GB2312" w:cs="仿宋_GB2312"/>
          <w:b/>
          <w:bCs/>
          <w:color w:val="000000"/>
          <w:kern w:val="0"/>
          <w:sz w:val="32"/>
          <w:szCs w:val="32"/>
          <w:lang w:bidi="ar"/>
        </w:rPr>
        <w:t>.重点课题。</w:t>
      </w:r>
      <w:r>
        <w:rPr>
          <w:rFonts w:ascii="Times New Roman" w:hAnsi="Times New Roman" w:eastAsia="仿宋_GB2312"/>
          <w:sz w:val="32"/>
          <w:szCs w:val="32"/>
        </w:rPr>
        <w:t>每</w:t>
      </w:r>
      <w:r>
        <w:rPr>
          <w:rFonts w:hint="eastAsia" w:ascii="Times New Roman" w:hAnsi="Times New Roman" w:eastAsia="仿宋_GB2312"/>
          <w:sz w:val="32"/>
          <w:szCs w:val="32"/>
        </w:rPr>
        <w:t>个</w:t>
      </w:r>
      <w:r>
        <w:rPr>
          <w:rFonts w:ascii="Times New Roman" w:hAnsi="Times New Roman" w:eastAsia="仿宋_GB2312"/>
          <w:sz w:val="32"/>
          <w:szCs w:val="32"/>
        </w:rPr>
        <w:t>课题</w:t>
      </w:r>
      <w:r>
        <w:rPr>
          <w:rFonts w:ascii="Times New Roman" w:hAnsi="Times New Roman" w:eastAsia="仿宋_GB2312"/>
          <w:color w:val="000000"/>
          <w:kern w:val="0"/>
          <w:sz w:val="32"/>
          <w:szCs w:val="32"/>
          <w:lang w:bidi="ar"/>
        </w:rPr>
        <w:t>资助10万元，研究期限2年</w:t>
      </w:r>
      <w:r>
        <w:rPr>
          <w:rFonts w:hint="eastAsia" w:ascii="Times New Roman" w:hAnsi="Times New Roman" w:eastAsia="仿宋_GB2312"/>
          <w:sz w:val="32"/>
          <w:szCs w:val="32"/>
        </w:rPr>
        <w:t>（自签订合同之日起开始计算）</w:t>
      </w:r>
      <w:r>
        <w:rPr>
          <w:rFonts w:ascii="Times New Roman" w:hAnsi="Times New Roman" w:eastAsia="仿宋_GB2312"/>
          <w:color w:val="000000"/>
          <w:kern w:val="0"/>
          <w:sz w:val="32"/>
          <w:szCs w:val="32"/>
          <w:lang w:bidi="ar"/>
        </w:rPr>
        <w:t>。</w:t>
      </w:r>
    </w:p>
    <w:p>
      <w:pPr>
        <w:spacing w:line="560" w:lineRule="exact"/>
        <w:ind w:firstLine="642" w:firstLineChars="200"/>
        <w:rPr>
          <w:rFonts w:ascii="Times New Roman" w:hAnsi="Times New Roman" w:eastAsia="仿宋_GB2312"/>
          <w:color w:val="000000"/>
          <w:kern w:val="0"/>
          <w:sz w:val="32"/>
          <w:szCs w:val="32"/>
          <w:lang w:bidi="ar"/>
        </w:rPr>
      </w:pPr>
      <w:r>
        <w:rPr>
          <w:rFonts w:ascii="Times New Roman" w:hAnsi="Times New Roman" w:eastAsia="仿宋_GB2312"/>
          <w:b/>
          <w:bCs/>
          <w:sz w:val="32"/>
          <w:szCs w:val="32"/>
        </w:rPr>
        <w:t>2</w:t>
      </w:r>
      <w:r>
        <w:rPr>
          <w:rFonts w:ascii="楷体_GB2312" w:hAnsi="楷体_GB2312" w:eastAsia="楷体_GB2312" w:cs="楷体_GB2312"/>
          <w:b/>
          <w:bCs/>
          <w:color w:val="000000"/>
          <w:kern w:val="0"/>
          <w:sz w:val="32"/>
          <w:szCs w:val="32"/>
          <w:lang w:bidi="ar"/>
        </w:rPr>
        <w:t>.</w:t>
      </w:r>
      <w:r>
        <w:rPr>
          <w:rFonts w:hint="eastAsia" w:ascii="仿宋_GB2312" w:hAnsi="仿宋_GB2312" w:eastAsia="仿宋_GB2312" w:cs="仿宋_GB2312"/>
          <w:b/>
          <w:bCs/>
          <w:color w:val="000000"/>
          <w:kern w:val="0"/>
          <w:sz w:val="32"/>
          <w:szCs w:val="32"/>
          <w:lang w:bidi="ar"/>
        </w:rPr>
        <w:t>基础课题。</w:t>
      </w:r>
      <w:r>
        <w:rPr>
          <w:rFonts w:ascii="Times New Roman" w:hAnsi="Times New Roman" w:eastAsia="仿宋_GB2312"/>
          <w:sz w:val="32"/>
          <w:szCs w:val="32"/>
        </w:rPr>
        <w:t>每</w:t>
      </w:r>
      <w:r>
        <w:rPr>
          <w:rFonts w:hint="eastAsia" w:ascii="Times New Roman" w:hAnsi="Times New Roman" w:eastAsia="仿宋_GB2312"/>
          <w:sz w:val="32"/>
          <w:szCs w:val="32"/>
        </w:rPr>
        <w:t>个</w:t>
      </w:r>
      <w:r>
        <w:rPr>
          <w:rFonts w:ascii="Times New Roman" w:hAnsi="Times New Roman" w:eastAsia="仿宋_GB2312"/>
          <w:sz w:val="32"/>
          <w:szCs w:val="32"/>
        </w:rPr>
        <w:t>课题</w:t>
      </w:r>
      <w:r>
        <w:rPr>
          <w:rFonts w:ascii="Times New Roman" w:hAnsi="Times New Roman" w:eastAsia="仿宋_GB2312"/>
          <w:color w:val="000000"/>
          <w:kern w:val="0"/>
          <w:sz w:val="32"/>
          <w:szCs w:val="32"/>
          <w:lang w:bidi="ar"/>
        </w:rPr>
        <w:t>资助5万元，研究期限2年</w:t>
      </w:r>
      <w:r>
        <w:rPr>
          <w:rFonts w:hint="eastAsia" w:ascii="Times New Roman" w:hAnsi="Times New Roman" w:eastAsia="仿宋_GB2312"/>
          <w:sz w:val="32"/>
          <w:szCs w:val="32"/>
        </w:rPr>
        <w:t>（自签订合同之日起开始计算）</w:t>
      </w:r>
      <w:r>
        <w:rPr>
          <w:rFonts w:ascii="Times New Roman" w:hAnsi="Times New Roman" w:eastAsia="仿宋_GB2312"/>
          <w:color w:val="000000"/>
          <w:kern w:val="0"/>
          <w:sz w:val="32"/>
          <w:szCs w:val="32"/>
          <w:lang w:bidi="ar"/>
        </w:rPr>
        <w:t>。</w:t>
      </w:r>
    </w:p>
    <w:p>
      <w:p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（二）自然资源部贵州喀斯特山地国土生态与土地利用野外科学观测研究站开放课题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每</w:t>
      </w:r>
      <w:r>
        <w:rPr>
          <w:rFonts w:hint="eastAsia" w:ascii="Times New Roman" w:hAnsi="Times New Roman" w:eastAsia="仿宋_GB2312"/>
          <w:sz w:val="32"/>
          <w:szCs w:val="32"/>
        </w:rPr>
        <w:t>个</w:t>
      </w:r>
      <w:r>
        <w:rPr>
          <w:rFonts w:ascii="Times New Roman" w:hAnsi="Times New Roman" w:eastAsia="仿宋_GB2312"/>
          <w:sz w:val="32"/>
          <w:szCs w:val="32"/>
        </w:rPr>
        <w:t>课题</w:t>
      </w:r>
      <w:r>
        <w:rPr>
          <w:rFonts w:ascii="Times New Roman" w:hAnsi="Times New Roman" w:eastAsia="仿宋_GB2312"/>
          <w:color w:val="000000"/>
          <w:kern w:val="0"/>
          <w:sz w:val="32"/>
          <w:szCs w:val="32"/>
          <w:lang w:bidi="ar"/>
        </w:rPr>
        <w:t>资助</w:t>
      </w:r>
      <w:r>
        <w:rPr>
          <w:rFonts w:ascii="Times New Roman" w:hAnsi="Times New Roman" w:eastAsia="仿宋_GB2312"/>
          <w:sz w:val="32"/>
          <w:szCs w:val="32"/>
        </w:rPr>
        <w:t>7.5</w:t>
      </w:r>
      <w:r>
        <w:rPr>
          <w:rFonts w:hint="eastAsia" w:ascii="Times New Roman" w:hAnsi="Times New Roman" w:eastAsia="仿宋_GB2312"/>
          <w:sz w:val="32"/>
          <w:szCs w:val="32"/>
        </w:rPr>
        <w:t>万</w:t>
      </w:r>
      <w:r>
        <w:rPr>
          <w:rFonts w:ascii="Times New Roman" w:hAnsi="Times New Roman" w:eastAsia="仿宋_GB2312"/>
          <w:sz w:val="32"/>
          <w:szCs w:val="32"/>
        </w:rPr>
        <w:t>元，</w:t>
      </w:r>
      <w:r>
        <w:rPr>
          <w:rFonts w:hint="eastAsia" w:ascii="Times New Roman" w:hAnsi="Times New Roman" w:eastAsia="仿宋_GB2312"/>
          <w:sz w:val="32"/>
          <w:szCs w:val="32"/>
        </w:rPr>
        <w:t>研究期限</w:t>
      </w:r>
      <w:r>
        <w:rPr>
          <w:rFonts w:ascii="Times New Roman" w:hAnsi="Times New Roman" w:eastAsia="仿宋_GB2312"/>
          <w:sz w:val="32"/>
          <w:szCs w:val="32"/>
        </w:rPr>
        <w:t>2年</w:t>
      </w:r>
      <w:r>
        <w:rPr>
          <w:rFonts w:hint="eastAsia" w:ascii="Times New Roman" w:hAnsi="Times New Roman" w:eastAsia="仿宋_GB2312"/>
          <w:sz w:val="32"/>
          <w:szCs w:val="32"/>
        </w:rPr>
        <w:t>（自签订合同之日起开始计算）。</w:t>
      </w:r>
    </w:p>
    <w:p>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三、课题管理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（一）获资助的课题负责人须按要求，完成课题中期评估、验收结题等各阶段汇报工作，并提交相应资料。</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获资助的课题负责人所在单位须严格执行《省人民政府办公厅关于印发贵州省省级财政科研项目和资金管理办法（试行）的通知》（黔府办发〔2016〕4号）、《省人民政府办公厅关于改革完善省级财政科研项目经费管理的实施意见》（黔府办发〔2022〕11号）的规定，落实专款专用，经费使用必须在课题起止期限内。</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（三）获资助的课题负责人及所在单位应主动接受贵州省自然资源厅的监督检查。对不接受监督检查或监督检查发现课题未按研究计划执行的，贵州省自然资源厅有权终止资助。</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（四）课题验收结题后一个月内，需向贵州省自然资源厅提交开放课题全部成果报告及相关资料。</w:t>
      </w:r>
    </w:p>
    <w:p>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四、预期成果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预期成果包括但不限于以下内容：</w:t>
      </w:r>
    </w:p>
    <w:p>
      <w:pPr>
        <w:spacing w:line="560" w:lineRule="exact"/>
        <w:ind w:firstLine="642" w:firstLineChars="200"/>
        <w:rPr>
          <w:rFonts w:ascii="楷体_GB2312" w:hAnsi="楷体_GB2312" w:eastAsia="楷体_GB2312" w:cs="楷体_GB2312"/>
          <w:sz w:val="32"/>
          <w:szCs w:val="32"/>
        </w:rPr>
      </w:pPr>
      <w:r>
        <w:rPr>
          <w:rFonts w:hint="eastAsia" w:ascii="Times New Roman" w:hAnsi="Times New Roman" w:eastAsia="仿宋_GB2312"/>
          <w:b/>
          <w:bCs/>
          <w:sz w:val="32"/>
          <w:szCs w:val="32"/>
        </w:rPr>
        <w:t>（一）</w:t>
      </w:r>
      <w:r>
        <w:rPr>
          <w:rFonts w:hint="eastAsia" w:ascii="楷体_GB2312" w:hAnsi="楷体_GB2312" w:eastAsia="楷体_GB2312" w:cs="楷体_GB2312"/>
          <w:sz w:val="32"/>
          <w:szCs w:val="32"/>
        </w:rPr>
        <w:t>自然资源部复杂构造区非常规天然气评价与开发重点实验室开放课题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课题研究报告1份；</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2.重点课题</w:t>
      </w:r>
      <w:r>
        <w:rPr>
          <w:rFonts w:hint="eastAsia" w:ascii="Times New Roman" w:hAnsi="Times New Roman" w:eastAsia="仿宋_GB2312"/>
          <w:sz w:val="32"/>
          <w:szCs w:val="32"/>
        </w:rPr>
        <w:t>：课题负责人以</w:t>
      </w:r>
      <w:r>
        <w:rPr>
          <w:rFonts w:ascii="Times New Roman" w:hAnsi="Times New Roman" w:eastAsia="仿宋_GB2312"/>
          <w:sz w:val="32"/>
          <w:szCs w:val="32"/>
        </w:rPr>
        <w:t>第一作者或通讯作者发表SCI/EI</w:t>
      </w:r>
      <w:r>
        <w:rPr>
          <w:rFonts w:hint="eastAsia" w:ascii="Times New Roman" w:hAnsi="Times New Roman" w:eastAsia="仿宋_GB2312"/>
          <w:sz w:val="32"/>
          <w:szCs w:val="32"/>
        </w:rPr>
        <w:t>期刊论文</w:t>
      </w:r>
      <w:r>
        <w:rPr>
          <w:rFonts w:ascii="Times New Roman" w:hAnsi="Times New Roman" w:eastAsia="仿宋_GB2312"/>
          <w:sz w:val="32"/>
          <w:szCs w:val="32"/>
        </w:rPr>
        <w:t>不少于2篇</w:t>
      </w:r>
      <w:r>
        <w:rPr>
          <w:rFonts w:hint="eastAsia" w:ascii="Times New Roman" w:hAnsi="Times New Roman" w:eastAsia="仿宋_GB2312"/>
          <w:sz w:val="32"/>
          <w:szCs w:val="32"/>
        </w:rPr>
        <w:t>（</w:t>
      </w:r>
      <w:r>
        <w:rPr>
          <w:rFonts w:ascii="Times New Roman" w:hAnsi="Times New Roman" w:eastAsia="仿宋_GB2312"/>
          <w:sz w:val="32"/>
          <w:szCs w:val="32"/>
        </w:rPr>
        <w:t>授权</w:t>
      </w:r>
      <w:r>
        <w:rPr>
          <w:rFonts w:hint="eastAsia" w:ascii="Times New Roman" w:hAnsi="Times New Roman" w:eastAsia="仿宋_GB2312"/>
          <w:sz w:val="32"/>
          <w:szCs w:val="32"/>
        </w:rPr>
        <w:t>发明</w:t>
      </w:r>
      <w:r>
        <w:rPr>
          <w:rFonts w:ascii="Times New Roman" w:hAnsi="Times New Roman" w:eastAsia="仿宋_GB2312"/>
          <w:sz w:val="32"/>
          <w:szCs w:val="32"/>
        </w:rPr>
        <w:t>专利1</w:t>
      </w:r>
      <w:r>
        <w:rPr>
          <w:rFonts w:hint="eastAsia" w:ascii="Times New Roman" w:hAnsi="Times New Roman" w:eastAsia="仿宋_GB2312"/>
          <w:sz w:val="32"/>
          <w:szCs w:val="32"/>
        </w:rPr>
        <w:t>件可抵</w:t>
      </w:r>
      <w:r>
        <w:rPr>
          <w:rFonts w:ascii="Times New Roman" w:hAnsi="Times New Roman" w:eastAsia="仿宋_GB2312"/>
          <w:sz w:val="32"/>
          <w:szCs w:val="32"/>
        </w:rPr>
        <w:t>1</w:t>
      </w:r>
      <w:r>
        <w:rPr>
          <w:rFonts w:hint="eastAsia" w:ascii="Times New Roman" w:hAnsi="Times New Roman" w:eastAsia="仿宋_GB2312"/>
          <w:sz w:val="32"/>
          <w:szCs w:val="32"/>
        </w:rPr>
        <w:t>篇论文）；</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基础课题</w:t>
      </w:r>
      <w:r>
        <w:rPr>
          <w:rFonts w:hint="eastAsia" w:ascii="Times New Roman" w:hAnsi="Times New Roman" w:eastAsia="仿宋_GB2312"/>
          <w:sz w:val="32"/>
          <w:szCs w:val="32"/>
        </w:rPr>
        <w:t>：课题负责人以</w:t>
      </w:r>
      <w:r>
        <w:rPr>
          <w:rFonts w:ascii="Times New Roman" w:hAnsi="Times New Roman" w:eastAsia="仿宋_GB2312"/>
          <w:sz w:val="32"/>
          <w:szCs w:val="32"/>
        </w:rPr>
        <w:t>第一作者或通讯作者发表SCI/EI</w:t>
      </w:r>
      <w:r>
        <w:rPr>
          <w:rFonts w:hint="eastAsia" w:ascii="Times New Roman" w:hAnsi="Times New Roman" w:eastAsia="仿宋_GB2312"/>
          <w:sz w:val="32"/>
          <w:szCs w:val="32"/>
        </w:rPr>
        <w:t>期刊</w:t>
      </w:r>
      <w:r>
        <w:rPr>
          <w:rFonts w:ascii="Times New Roman" w:hAnsi="Times New Roman" w:eastAsia="仿宋_GB2312"/>
          <w:sz w:val="32"/>
          <w:szCs w:val="32"/>
        </w:rPr>
        <w:t>论文不少于1篇，或授权</w:t>
      </w:r>
      <w:r>
        <w:rPr>
          <w:rFonts w:hint="eastAsia" w:ascii="Times New Roman" w:hAnsi="Times New Roman" w:eastAsia="仿宋_GB2312"/>
          <w:sz w:val="32"/>
          <w:szCs w:val="32"/>
        </w:rPr>
        <w:t>发明</w:t>
      </w:r>
      <w:r>
        <w:rPr>
          <w:rFonts w:ascii="Times New Roman" w:hAnsi="Times New Roman" w:eastAsia="仿宋_GB2312"/>
          <w:sz w:val="32"/>
          <w:szCs w:val="32"/>
        </w:rPr>
        <w:t>专利不少于1</w:t>
      </w:r>
      <w:r>
        <w:rPr>
          <w:rFonts w:hint="eastAsia" w:ascii="Times New Roman" w:hAnsi="Times New Roman" w:eastAsia="仿宋_GB2312"/>
          <w:sz w:val="32"/>
          <w:szCs w:val="32"/>
        </w:rPr>
        <w:t>件</w:t>
      </w:r>
      <w:r>
        <w:rPr>
          <w:rFonts w:ascii="Times New Roman" w:hAnsi="Times New Roman" w:eastAsia="仿宋_GB2312"/>
          <w:sz w:val="32"/>
          <w:szCs w:val="32"/>
        </w:rPr>
        <w:t>。</w:t>
      </w:r>
    </w:p>
    <w:p>
      <w:p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（二）自然资源部贵州喀斯特山地国土生态与土地利用野外科学观测研究站开放课题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课题研究报告1份；</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课题负责人以</w:t>
      </w:r>
      <w:r>
        <w:rPr>
          <w:rFonts w:ascii="Times New Roman" w:hAnsi="Times New Roman" w:eastAsia="仿宋_GB2312"/>
          <w:sz w:val="32"/>
          <w:szCs w:val="32"/>
        </w:rPr>
        <w:t>第一作者或通讯作者</w:t>
      </w:r>
      <w:r>
        <w:rPr>
          <w:rFonts w:hint="eastAsia" w:ascii="Times New Roman" w:hAnsi="Times New Roman" w:eastAsia="仿宋_GB2312"/>
          <w:sz w:val="32"/>
          <w:szCs w:val="32"/>
        </w:rPr>
        <w:t>，</w:t>
      </w:r>
      <w:r>
        <w:rPr>
          <w:rFonts w:ascii="Times New Roman" w:hAnsi="Times New Roman" w:eastAsia="仿宋_GB2312"/>
          <w:sz w:val="32"/>
          <w:szCs w:val="32"/>
        </w:rPr>
        <w:t>发表SCI/SSCI/CSSCI/EI/</w:t>
      </w:r>
      <w:r>
        <w:rPr>
          <w:rFonts w:hint="eastAsia" w:ascii="Times New Roman" w:hAnsi="Times New Roman" w:eastAsia="仿宋_GB2312"/>
          <w:sz w:val="32"/>
          <w:szCs w:val="32"/>
        </w:rPr>
        <w:t>中文核心期刊论文不少于1篇，</w:t>
      </w:r>
      <w:r>
        <w:rPr>
          <w:rFonts w:ascii="Times New Roman" w:hAnsi="Times New Roman" w:eastAsia="仿宋_GB2312"/>
          <w:sz w:val="32"/>
          <w:szCs w:val="32"/>
        </w:rPr>
        <w:t>或授权</w:t>
      </w:r>
      <w:r>
        <w:rPr>
          <w:rFonts w:hint="eastAsia" w:ascii="Times New Roman" w:hAnsi="Times New Roman" w:eastAsia="仿宋_GB2312"/>
          <w:sz w:val="32"/>
          <w:szCs w:val="32"/>
        </w:rPr>
        <w:t>发明</w:t>
      </w:r>
      <w:r>
        <w:rPr>
          <w:rFonts w:ascii="Times New Roman" w:hAnsi="Times New Roman" w:eastAsia="仿宋_GB2312"/>
          <w:sz w:val="32"/>
          <w:szCs w:val="32"/>
        </w:rPr>
        <w:t>专利不少于1</w:t>
      </w:r>
      <w:r>
        <w:rPr>
          <w:rFonts w:hint="eastAsia" w:ascii="Times New Roman" w:hAnsi="Times New Roman" w:eastAsia="仿宋_GB2312"/>
          <w:sz w:val="32"/>
          <w:szCs w:val="32"/>
        </w:rPr>
        <w:t>件，或发表高水平咨政建言文章不少于1篇</w:t>
      </w:r>
      <w:r>
        <w:rPr>
          <w:rFonts w:ascii="Times New Roman" w:hAnsi="Times New Roman" w:eastAsia="仿宋_GB2312"/>
          <w:sz w:val="32"/>
          <w:szCs w:val="32"/>
        </w:rPr>
        <w:t>。</w:t>
      </w:r>
    </w:p>
    <w:p>
      <w:pPr>
        <w:widowControl/>
        <w:spacing w:line="560" w:lineRule="exact"/>
        <w:ind w:firstLine="640" w:firstLineChars="200"/>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五、成果共享</w:t>
      </w:r>
    </w:p>
    <w:p>
      <w:pPr>
        <w:spacing w:line="560" w:lineRule="exact"/>
        <w:ind w:firstLine="642" w:firstLineChars="200"/>
        <w:rPr>
          <w:rFonts w:ascii="楷体_GB2312" w:hAnsi="楷体_GB2312" w:eastAsia="楷体_GB2312" w:cs="楷体_GB2312"/>
          <w:sz w:val="32"/>
          <w:szCs w:val="32"/>
        </w:rPr>
      </w:pPr>
      <w:r>
        <w:rPr>
          <w:rFonts w:hint="eastAsia" w:ascii="Times New Roman" w:hAnsi="Times New Roman" w:eastAsia="仿宋_GB2312"/>
          <w:b/>
          <w:bCs/>
          <w:sz w:val="32"/>
          <w:szCs w:val="32"/>
        </w:rPr>
        <w:t>（一）</w:t>
      </w:r>
      <w:r>
        <w:rPr>
          <w:rFonts w:hint="eastAsia" w:ascii="楷体_GB2312" w:hAnsi="楷体_GB2312" w:eastAsia="楷体_GB2312" w:cs="楷体_GB2312"/>
          <w:sz w:val="32"/>
          <w:szCs w:val="32"/>
        </w:rPr>
        <w:t>自然资源部复杂构造区非常规天然气评价与开发重点实验室开放课题</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1.资助课题所取得的论文等学术成果，属课题组成员所在单位共同所有。产生专利或软件著作权等知识产权的，贵州省油气勘查开发工程研究院应作为专利权人或著作权人之一。</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2.资助课题的研究成果由课题组成员所在单位联合申请成果鉴定或申报成果奖励</w:t>
      </w:r>
      <w:bookmarkStart w:id="0" w:name="_GoBack"/>
      <w:bookmarkEnd w:id="0"/>
      <w:r>
        <w:rPr>
          <w:rFonts w:hint="eastAsia" w:ascii="Times New Roman" w:hAnsi="Times New Roman" w:eastAsia="仿宋_GB2312"/>
          <w:sz w:val="32"/>
          <w:szCs w:val="32"/>
        </w:rPr>
        <w:t>。成果转让的获利由课题组成员所在单位共享，比例自行协商。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color w:val="000000"/>
          <w:kern w:val="0"/>
          <w:sz w:val="32"/>
          <w:szCs w:val="32"/>
          <w:lang w:bidi="ar"/>
        </w:rPr>
        <w:t>资助课题所发表的论文、论著、研究报告、资料、鉴定证书以及申报成果时，自然资源部复杂构造区非常规天然气评价与开发重点实验室（</w:t>
      </w:r>
      <w:r>
        <w:rPr>
          <w:rFonts w:ascii="Times New Roman" w:hAnsi="Times New Roman"/>
          <w:color w:val="000000"/>
          <w:kern w:val="0"/>
          <w:sz w:val="32"/>
          <w:szCs w:val="32"/>
          <w:lang w:bidi="ar"/>
        </w:rPr>
        <w:t>Key Laboratory of Unconventional Natural Gas Evaluation and Development in Complex Tectonic Areas, Ministry of Natural Resources</w:t>
      </w:r>
      <w:r>
        <w:rPr>
          <w:rFonts w:ascii="Times New Roman" w:hAnsi="Times New Roman" w:eastAsia="仿宋_GB2312"/>
          <w:color w:val="000000"/>
          <w:kern w:val="0"/>
          <w:sz w:val="32"/>
          <w:szCs w:val="32"/>
          <w:lang w:bidi="ar"/>
        </w:rPr>
        <w:t>）应作为第一完成单位</w:t>
      </w:r>
      <w:r>
        <w:rPr>
          <w:rFonts w:hint="eastAsia" w:ascii="Times New Roman" w:hAnsi="Times New Roman" w:eastAsia="仿宋_GB2312"/>
          <w:color w:val="000000"/>
          <w:kern w:val="0"/>
          <w:sz w:val="32"/>
          <w:szCs w:val="32"/>
          <w:lang w:bidi="ar"/>
        </w:rPr>
        <w:t>，</w:t>
      </w:r>
      <w:r>
        <w:rPr>
          <w:rFonts w:ascii="Times New Roman" w:hAnsi="Times New Roman" w:eastAsia="仿宋_GB2312"/>
          <w:color w:val="000000"/>
          <w:kern w:val="0"/>
          <w:sz w:val="32"/>
          <w:szCs w:val="32"/>
          <w:lang w:bidi="ar"/>
        </w:rPr>
        <w:t>同时应在致谢栏或首页脚注标注开放课题基金编号</w:t>
      </w:r>
      <w:r>
        <w:rPr>
          <w:rFonts w:hint="eastAsia" w:ascii="Times New Roman" w:hAnsi="Times New Roman" w:eastAsia="仿宋_GB2312"/>
          <w:sz w:val="32"/>
          <w:szCs w:val="32"/>
        </w:rPr>
        <w:t>。</w:t>
      </w:r>
    </w:p>
    <w:p>
      <w:pPr>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（二）自然资源部贵州喀斯特山地国土生态与土地利用野外科学观测研究站开放课题</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1.资助课题所取得的论文等学术成果，属课题组成员所在单位共同所有。产生专利或软件著作权等知识产权的，贵州省自然资源勘测规划研究院应作为专利权人或著作权人之一。</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2.资助课题的研究成果由课题组成员所在单位联合申请成果鉴定或申报成果奖励。成果转让的获利由课题组成员所在单位共享，比例自行协商。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3.资助课题发表论文、论著、研究报告、资料、鉴定证书以及申报成果时，自然资源部贵州喀斯特山地国土生态与土地利用野外科学观测研究站</w:t>
      </w:r>
      <w:r>
        <w:rPr>
          <w:rFonts w:ascii="Times New Roman" w:hAnsi="Times New Roman" w:eastAsia="仿宋_GB2312"/>
          <w:sz w:val="32"/>
          <w:szCs w:val="32"/>
        </w:rPr>
        <w:t>（</w:t>
      </w:r>
      <w:r>
        <w:rPr>
          <w:rFonts w:hint="eastAsia" w:ascii="Times New Roman" w:hAnsi="Times New Roman" w:eastAsia="仿宋_GB2312"/>
          <w:sz w:val="32"/>
          <w:szCs w:val="32"/>
        </w:rPr>
        <w:t>Observation and Research Station of Guizhou Karst Mountain Land Ecology and Land Use，Ministry of Natural Resources</w:t>
      </w:r>
      <w:r>
        <w:rPr>
          <w:rFonts w:ascii="Times New Roman" w:hAnsi="Times New Roman" w:eastAsia="仿宋_GB2312"/>
          <w:sz w:val="32"/>
          <w:szCs w:val="32"/>
        </w:rPr>
        <w:t>）</w:t>
      </w:r>
      <w:r>
        <w:rPr>
          <w:rFonts w:hint="eastAsia" w:ascii="Times New Roman" w:hAnsi="Times New Roman" w:eastAsia="仿宋_GB2312"/>
          <w:sz w:val="32"/>
          <w:szCs w:val="32"/>
        </w:rPr>
        <w:t>及依托单位</w:t>
      </w:r>
      <w:r>
        <w:rPr>
          <w:rFonts w:ascii="Times New Roman" w:hAnsi="Times New Roman" w:eastAsia="仿宋_GB2312"/>
          <w:sz w:val="32"/>
          <w:szCs w:val="32"/>
        </w:rPr>
        <w:t>须为前</w:t>
      </w:r>
      <w:r>
        <w:rPr>
          <w:rFonts w:hint="eastAsia" w:ascii="Times New Roman" w:hAnsi="Times New Roman" w:eastAsia="仿宋_GB2312"/>
          <w:sz w:val="32"/>
          <w:szCs w:val="32"/>
        </w:rPr>
        <w:t>三</w:t>
      </w:r>
      <w:r>
        <w:rPr>
          <w:rFonts w:ascii="Times New Roman" w:hAnsi="Times New Roman" w:eastAsia="仿宋_GB2312"/>
          <w:sz w:val="32"/>
          <w:szCs w:val="32"/>
        </w:rPr>
        <w:t>署名</w:t>
      </w:r>
      <w:r>
        <w:rPr>
          <w:rFonts w:hint="eastAsia" w:ascii="Times New Roman" w:hAnsi="Times New Roman" w:eastAsia="仿宋_GB2312"/>
          <w:sz w:val="32"/>
          <w:szCs w:val="32"/>
        </w:rPr>
        <w:t>单</w:t>
      </w:r>
      <w:r>
        <w:rPr>
          <w:rFonts w:ascii="Times New Roman" w:hAnsi="Times New Roman" w:eastAsia="仿宋_GB2312"/>
          <w:sz w:val="32"/>
          <w:szCs w:val="32"/>
        </w:rPr>
        <w:t>位</w:t>
      </w:r>
      <w:r>
        <w:rPr>
          <w:rFonts w:hint="eastAsia" w:ascii="Times New Roman" w:hAnsi="Times New Roman" w:eastAsia="仿宋_GB2312"/>
          <w:sz w:val="32"/>
          <w:szCs w:val="32"/>
        </w:rPr>
        <w:t>，同时应在致谢栏或首页脚注标注开放课题基金编号。</w:t>
      </w:r>
    </w:p>
    <w:p>
      <w:pPr>
        <w:spacing w:line="560" w:lineRule="exact"/>
        <w:ind w:firstLine="640" w:firstLineChars="200"/>
        <w:rPr>
          <w:rFonts w:ascii="Times New Roman" w:hAnsi="Times New Roman" w:eastAsia="仿宋_GB2312"/>
          <w:sz w:val="32"/>
          <w:szCs w:val="32"/>
        </w:rPr>
      </w:pPr>
    </w:p>
    <w:p>
      <w:pPr>
        <w:spacing w:line="600" w:lineRule="exact"/>
        <w:rPr>
          <w:rFonts w:ascii="CESI仿宋-GB2312" w:hAnsi="CESI仿宋-GB2312" w:eastAsia="CESI仿宋-GB2312" w:cs="CESI仿宋-GB2312"/>
          <w:sz w:val="32"/>
          <w:szCs w:val="32"/>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Unicode MS">
    <w:altName w:val="Times New Roman"/>
    <w:panose1 w:val="020B0604020202020204"/>
    <w:charset w:val="86"/>
    <w:family w:val="swiss"/>
    <w:pitch w:val="default"/>
    <w:sig w:usb0="00000000" w:usb1="00000000" w:usb2="0000007F" w:usb3="00000000" w:csb0="003F01F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隶书">
    <w:altName w:val="宋体"/>
    <w:panose1 w:val="02010800040101010101"/>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- 22 -</w:t>
                          </w:r>
                          <w:r>
                            <w:rPr>
                              <w:rFonts w:hint="eastAsia" w:ascii="宋体" w:hAnsi="宋体" w:cs="宋体"/>
                              <w:sz w:val="28"/>
                              <w:szCs w:val="28"/>
                            </w:rPr>
                            <w:fldChar w:fldCharType="end"/>
                          </w:r>
                        </w:p>
                      </w:txbxContent>
                    </wps:txbx>
                    <wps:bodyPr vert="horz" wrap="none" lIns="0" tIns="0" rIns="0" bIns="0" anchor="t" anchorCtr="0">
                      <a:spAutoFit/>
                    </wps:bodyPr>
                  </wps:wsp>
                </a:graphicData>
              </a:graphic>
            </wp:anchor>
          </w:drawing>
        </mc:Choice>
        <mc:Fallback>
          <w:pict>
            <v:shape id="文本框 1030"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OQA&#10;ixLTAAAABwEAAA8AAAAAAAAAAQAgAAAAOAAAAGRycy9kb3ducmV2LnhtbFBLAQIUABQAAAAIAIdO&#10;4kADFgNC2QEAALUDAAAOAAAAAAAAAAEAIAAAADgBAABkcnMvZTJvRG9jLnhtbFBLBQYAAAAABgAG&#10;AFkBAACDBQAAAAA=&#10;">
              <v:fill on="f" focussize="0,0"/>
              <v:stroke on="f"/>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038D"/>
    <w:rsid w:val="000D4DF9"/>
    <w:rsid w:val="00172A27"/>
    <w:rsid w:val="00A44BDA"/>
    <w:rsid w:val="00F91411"/>
    <w:rsid w:val="0FBF3CCA"/>
    <w:rsid w:val="172F19E5"/>
    <w:rsid w:val="1CAFBC1D"/>
    <w:rsid w:val="1FB11A94"/>
    <w:rsid w:val="26EF62A7"/>
    <w:rsid w:val="2D7F8326"/>
    <w:rsid w:val="2EFF3A83"/>
    <w:rsid w:val="2FF787EB"/>
    <w:rsid w:val="35EC9083"/>
    <w:rsid w:val="377F3B87"/>
    <w:rsid w:val="39FF698A"/>
    <w:rsid w:val="3B7F23EB"/>
    <w:rsid w:val="3BBF30C7"/>
    <w:rsid w:val="3C2D955F"/>
    <w:rsid w:val="3D7B57C8"/>
    <w:rsid w:val="3E9BF3DE"/>
    <w:rsid w:val="3F670433"/>
    <w:rsid w:val="3F676CCD"/>
    <w:rsid w:val="3F783EF4"/>
    <w:rsid w:val="3F7FC521"/>
    <w:rsid w:val="3FDE600F"/>
    <w:rsid w:val="3FFBA051"/>
    <w:rsid w:val="3FFCDD29"/>
    <w:rsid w:val="4DEC19BA"/>
    <w:rsid w:val="4F7EEE56"/>
    <w:rsid w:val="57F7E597"/>
    <w:rsid w:val="59FF018B"/>
    <w:rsid w:val="5BEFC749"/>
    <w:rsid w:val="5DD563EB"/>
    <w:rsid w:val="5ECFBD95"/>
    <w:rsid w:val="5EFF29C3"/>
    <w:rsid w:val="5EFF6BEB"/>
    <w:rsid w:val="5F4E47D8"/>
    <w:rsid w:val="5F7FE9C9"/>
    <w:rsid w:val="5FB07F46"/>
    <w:rsid w:val="5FBE2BF7"/>
    <w:rsid w:val="5FBF9623"/>
    <w:rsid w:val="5FD00D81"/>
    <w:rsid w:val="621E2CF8"/>
    <w:rsid w:val="62493D1D"/>
    <w:rsid w:val="66DBFDC9"/>
    <w:rsid w:val="67B22858"/>
    <w:rsid w:val="69DD3E5D"/>
    <w:rsid w:val="6A6FF958"/>
    <w:rsid w:val="6CFBCD0F"/>
    <w:rsid w:val="6DEB01DC"/>
    <w:rsid w:val="6E6A6574"/>
    <w:rsid w:val="6EFB8143"/>
    <w:rsid w:val="6EFF0225"/>
    <w:rsid w:val="6F59EC45"/>
    <w:rsid w:val="6F5F8B88"/>
    <w:rsid w:val="6F677082"/>
    <w:rsid w:val="6F7F8FE1"/>
    <w:rsid w:val="6FBEF64A"/>
    <w:rsid w:val="6FBF27F4"/>
    <w:rsid w:val="6FCFBAF5"/>
    <w:rsid w:val="6FF7C7DC"/>
    <w:rsid w:val="6FFECC60"/>
    <w:rsid w:val="6FFF7ABE"/>
    <w:rsid w:val="723F8285"/>
    <w:rsid w:val="736F3D6A"/>
    <w:rsid w:val="73BFD59F"/>
    <w:rsid w:val="73F89AF4"/>
    <w:rsid w:val="73FFAC2A"/>
    <w:rsid w:val="75B5A923"/>
    <w:rsid w:val="767DA6DC"/>
    <w:rsid w:val="769F7A0B"/>
    <w:rsid w:val="776F5447"/>
    <w:rsid w:val="77E67CA0"/>
    <w:rsid w:val="78FE7619"/>
    <w:rsid w:val="791FA66D"/>
    <w:rsid w:val="7AFEFB95"/>
    <w:rsid w:val="7BBDC31E"/>
    <w:rsid w:val="7BDE1E58"/>
    <w:rsid w:val="7BFCC4E9"/>
    <w:rsid w:val="7BFFBAF6"/>
    <w:rsid w:val="7C3BF15C"/>
    <w:rsid w:val="7CD8C3E0"/>
    <w:rsid w:val="7D59A54A"/>
    <w:rsid w:val="7DB76161"/>
    <w:rsid w:val="7DDB2A0E"/>
    <w:rsid w:val="7E7FA150"/>
    <w:rsid w:val="7EBA56F3"/>
    <w:rsid w:val="7EDEE2FD"/>
    <w:rsid w:val="7EFA7366"/>
    <w:rsid w:val="7F5BA273"/>
    <w:rsid w:val="7F796392"/>
    <w:rsid w:val="7FBF7DE9"/>
    <w:rsid w:val="7FBFF77D"/>
    <w:rsid w:val="7FCEB233"/>
    <w:rsid w:val="7FD6D01D"/>
    <w:rsid w:val="7FDEBE06"/>
    <w:rsid w:val="7FE7BF28"/>
    <w:rsid w:val="7FF11458"/>
    <w:rsid w:val="7FFBA79C"/>
    <w:rsid w:val="7FFFB888"/>
    <w:rsid w:val="997B8E53"/>
    <w:rsid w:val="9BFD906E"/>
    <w:rsid w:val="9EE9B698"/>
    <w:rsid w:val="AEF7404D"/>
    <w:rsid w:val="AF119DBE"/>
    <w:rsid w:val="B466A118"/>
    <w:rsid w:val="BAB13F5D"/>
    <w:rsid w:val="BAE8686C"/>
    <w:rsid w:val="BDC3787E"/>
    <w:rsid w:val="BDDDF333"/>
    <w:rsid w:val="BDFF03CA"/>
    <w:rsid w:val="BDFF989E"/>
    <w:rsid w:val="BF5DDE32"/>
    <w:rsid w:val="BFDFD2DA"/>
    <w:rsid w:val="C7CE41D2"/>
    <w:rsid w:val="C7D78549"/>
    <w:rsid w:val="CBF908AD"/>
    <w:rsid w:val="CFE76734"/>
    <w:rsid w:val="D3FCF681"/>
    <w:rsid w:val="D5C7C7C3"/>
    <w:rsid w:val="D7ED0E4E"/>
    <w:rsid w:val="D7FDCB94"/>
    <w:rsid w:val="D9D5F559"/>
    <w:rsid w:val="DAFF6466"/>
    <w:rsid w:val="DBE353D1"/>
    <w:rsid w:val="DCF72CB0"/>
    <w:rsid w:val="DDF93FBD"/>
    <w:rsid w:val="DE7EB731"/>
    <w:rsid w:val="DEDE696F"/>
    <w:rsid w:val="DFFC9FA4"/>
    <w:rsid w:val="E5C24CB2"/>
    <w:rsid w:val="E770557E"/>
    <w:rsid w:val="EB6E4EA4"/>
    <w:rsid w:val="EBDD9280"/>
    <w:rsid w:val="EBE72EB7"/>
    <w:rsid w:val="ECE7FA43"/>
    <w:rsid w:val="ED99AF73"/>
    <w:rsid w:val="EDED7BBA"/>
    <w:rsid w:val="EF792979"/>
    <w:rsid w:val="EF9CC1C9"/>
    <w:rsid w:val="EFBF5041"/>
    <w:rsid w:val="EFBF7B30"/>
    <w:rsid w:val="EFFF1E2D"/>
    <w:rsid w:val="F06DA4E6"/>
    <w:rsid w:val="F67C24BD"/>
    <w:rsid w:val="F6B4374B"/>
    <w:rsid w:val="F7F3C758"/>
    <w:rsid w:val="F7FF8729"/>
    <w:rsid w:val="F9FFAB64"/>
    <w:rsid w:val="FACF2CFB"/>
    <w:rsid w:val="FAFB70A2"/>
    <w:rsid w:val="FB479B10"/>
    <w:rsid w:val="FB7F3959"/>
    <w:rsid w:val="FBBA966D"/>
    <w:rsid w:val="FBE50C6D"/>
    <w:rsid w:val="FDB6EC43"/>
    <w:rsid w:val="FDCD831A"/>
    <w:rsid w:val="FDE78293"/>
    <w:rsid w:val="FDFB9BC4"/>
    <w:rsid w:val="FDFE44C1"/>
    <w:rsid w:val="FDFF8AFA"/>
    <w:rsid w:val="FE930E4B"/>
    <w:rsid w:val="FEA5EBB3"/>
    <w:rsid w:val="FEF7BF89"/>
    <w:rsid w:val="FEFB4D05"/>
    <w:rsid w:val="FF47BE7F"/>
    <w:rsid w:val="FF4E0AE1"/>
    <w:rsid w:val="FF774B38"/>
    <w:rsid w:val="FFAB7D16"/>
    <w:rsid w:val="FFBAA5D0"/>
    <w:rsid w:val="FFCF70ED"/>
    <w:rsid w:val="FFE4A5C4"/>
    <w:rsid w:val="FFE76D11"/>
    <w:rsid w:val="FFF4AFE7"/>
    <w:rsid w:val="FFF611E2"/>
    <w:rsid w:val="FFFB5A72"/>
    <w:rsid w:val="FFFF597A"/>
    <w:rsid w:val="FFFFA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Arial Unicode MS" w:hAnsi="Arial Unicode MS" w:eastAsia="Arial Unicode MS" w:cs="Arial Unicode MS"/>
      <w:sz w:val="32"/>
      <w:szCs w:val="32"/>
      <w:lang w:val="zh-CN" w:bidi="zh-CN"/>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u w:val="single"/>
    </w:rPr>
  </w:style>
  <w:style w:type="character" w:customStyle="1" w:styleId="12">
    <w:name w:val="hps atn"/>
    <w:qFormat/>
    <w:uiPriority w:val="0"/>
  </w:style>
  <w:style w:type="table" w:customStyle="1" w:styleId="13">
    <w:name w:val="网格型1"/>
    <w:basedOn w:val="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纯文本1"/>
    <w:basedOn w:val="1"/>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1183</Words>
  <Characters>6747</Characters>
  <Lines>56</Lines>
  <Paragraphs>15</Paragraphs>
  <TotalTime>0</TotalTime>
  <ScaleCrop>false</ScaleCrop>
  <LinksUpToDate>false</LinksUpToDate>
  <CharactersWithSpaces>7915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2026-06-01T10:30:00Z</dcterms:created>
  <dc:creator>陈芳</dc:creator>
  <cp:lastModifiedBy>ysgz</cp:lastModifiedBy>
  <cp:lastPrinted>2026-06-01T17:12:00Z</cp:lastPrinted>
  <dcterms:modified xsi:type="dcterms:W3CDTF">2026-06-03T08:31:45Z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850C9C43E45BFDD87F741F6AA4086547</vt:lpwstr>
  </property>
</Properties>
</file>