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6559"/>
        <w:gridCol w:w="927"/>
      </w:tblGrid>
      <w:tr w14:paraId="57FC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gridSpan w:val="3"/>
            <w:tcBorders>
              <w:top w:val="nil"/>
              <w:left w:val="nil"/>
              <w:bottom w:val="single" w:color="auto" w:sz="4" w:space="0"/>
              <w:right w:val="nil"/>
            </w:tcBorders>
            <w:tcMar>
              <w:left w:w="108" w:type="dxa"/>
              <w:right w:w="108" w:type="dxa"/>
            </w:tcMar>
            <w:vAlign w:val="center"/>
          </w:tcPr>
          <w:p w14:paraId="53B15C80">
            <w:pPr>
              <w:pStyle w:val="28"/>
              <w:snapToGrid w:val="0"/>
              <w:spacing w:line="240" w:lineRule="auto"/>
              <w:jc w:val="both"/>
              <w:rPr>
                <w:sz w:val="28"/>
                <w:szCs w:val="28"/>
              </w:rPr>
            </w:pPr>
            <w:r>
              <w:rPr>
                <w:sz w:val="28"/>
                <w:szCs w:val="28"/>
              </w:rPr>
              <w:t>附件3</w:t>
            </w:r>
          </w:p>
          <w:p w14:paraId="7BB7A98D">
            <w:pPr>
              <w:pStyle w:val="28"/>
              <w:snapToGrid w:val="0"/>
              <w:spacing w:line="240" w:lineRule="auto"/>
              <w:jc w:val="center"/>
            </w:pPr>
            <w:r>
              <w:rPr>
                <w:rStyle w:val="27"/>
                <w:rFonts w:hint="eastAsia"/>
              </w:rPr>
              <w:t>评审说明</w:t>
            </w:r>
          </w:p>
        </w:tc>
      </w:tr>
      <w:tr w14:paraId="7458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59" w:type="dxa"/>
            <w:tcBorders>
              <w:top w:val="single" w:color="auto" w:sz="4" w:space="0"/>
            </w:tcBorders>
            <w:tcMar>
              <w:left w:w="108" w:type="dxa"/>
              <w:right w:w="108" w:type="dxa"/>
            </w:tcMar>
            <w:vAlign w:val="center"/>
          </w:tcPr>
          <w:p w14:paraId="60254E49">
            <w:pPr>
              <w:autoSpaceDE w:val="0"/>
              <w:autoSpaceDN w:val="0"/>
              <w:adjustRightInd w:val="0"/>
              <w:snapToGrid w:val="0"/>
              <w:jc w:val="center"/>
              <w:rPr>
                <w:rFonts w:ascii="宋体" w:hAnsi="宋体" w:eastAsia="宋体" w:cs="宋体"/>
                <w:color w:val="000000"/>
                <w:sz w:val="24"/>
                <w:szCs w:val="24"/>
              </w:rPr>
            </w:pPr>
            <w:r>
              <w:rPr>
                <w:rFonts w:hint="eastAsia" w:ascii="黑体" w:hAnsi="黑体" w:eastAsia="黑体" w:cs="黑体"/>
                <w:b/>
                <w:bCs/>
                <w:color w:val="000000"/>
                <w:sz w:val="24"/>
                <w:szCs w:val="24"/>
              </w:rPr>
              <w:t>评分项</w:t>
            </w:r>
          </w:p>
        </w:tc>
        <w:tc>
          <w:tcPr>
            <w:tcW w:w="6559" w:type="dxa"/>
            <w:tcBorders>
              <w:top w:val="single" w:color="auto" w:sz="4" w:space="0"/>
            </w:tcBorders>
            <w:tcMar>
              <w:left w:w="108" w:type="dxa"/>
              <w:right w:w="108" w:type="dxa"/>
            </w:tcMar>
            <w:vAlign w:val="center"/>
          </w:tcPr>
          <w:p w14:paraId="65C3FF92">
            <w:pPr>
              <w:autoSpaceDE w:val="0"/>
              <w:autoSpaceDN w:val="0"/>
              <w:adjustRightInd w:val="0"/>
              <w:snapToGrid w:val="0"/>
              <w:jc w:val="center"/>
              <w:rPr>
                <w:rFonts w:ascii="宋体" w:hAnsi="宋体" w:eastAsia="宋体" w:cs="宋体"/>
                <w:color w:val="000000"/>
                <w:sz w:val="24"/>
                <w:szCs w:val="24"/>
              </w:rPr>
            </w:pPr>
            <w:r>
              <w:rPr>
                <w:rFonts w:hint="eastAsia" w:ascii="黑体" w:hAnsi="黑体" w:eastAsia="黑体" w:cs="黑体"/>
                <w:b/>
                <w:bCs/>
                <w:color w:val="000000"/>
                <w:sz w:val="24"/>
                <w:szCs w:val="24"/>
              </w:rPr>
              <w:t>评审标准</w:t>
            </w:r>
          </w:p>
        </w:tc>
        <w:tc>
          <w:tcPr>
            <w:tcW w:w="927" w:type="dxa"/>
            <w:tcBorders>
              <w:top w:val="single" w:color="auto" w:sz="4" w:space="0"/>
            </w:tcBorders>
            <w:tcMar>
              <w:left w:w="108" w:type="dxa"/>
              <w:right w:w="108" w:type="dxa"/>
            </w:tcMar>
            <w:vAlign w:val="center"/>
          </w:tcPr>
          <w:p w14:paraId="0620EE96">
            <w:pPr>
              <w:suppressAutoHyphens/>
              <w:snapToGrid w:val="0"/>
              <w:jc w:val="center"/>
              <w:rPr>
                <w:rFonts w:ascii="宋体" w:hAnsi="宋体" w:eastAsia="宋体" w:cs="宋体"/>
                <w:bCs/>
                <w:color w:val="000000"/>
                <w:sz w:val="24"/>
                <w:szCs w:val="24"/>
              </w:rPr>
            </w:pPr>
            <w:r>
              <w:rPr>
                <w:rFonts w:hint="eastAsia" w:ascii="黑体" w:hAnsi="黑体" w:eastAsia="黑体" w:cs="黑体"/>
                <w:bCs/>
                <w:sz w:val="24"/>
                <w:szCs w:val="24"/>
              </w:rPr>
              <w:t>分值</w:t>
            </w:r>
          </w:p>
        </w:tc>
      </w:tr>
      <w:tr w14:paraId="6BDE4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tcMar>
              <w:left w:w="108" w:type="dxa"/>
              <w:right w:w="108" w:type="dxa"/>
            </w:tcMar>
            <w:vAlign w:val="center"/>
          </w:tcPr>
          <w:p w14:paraId="0312204E">
            <w:pPr>
              <w:snapToGrid w:val="0"/>
              <w:jc w:val="left"/>
              <w:rPr>
                <w:rFonts w:ascii="仿宋" w:hAnsi="宋体" w:eastAsia="仿宋" w:cs="宋体"/>
                <w:b/>
                <w:bCs/>
                <w:color w:val="000000"/>
                <w:sz w:val="24"/>
                <w:szCs w:val="24"/>
              </w:rPr>
            </w:pPr>
            <w:r>
              <w:rPr>
                <w:rFonts w:hint="eastAsia" w:ascii="仿宋" w:hAnsi="宋体" w:eastAsia="仿宋" w:cs="宋体"/>
                <w:b/>
                <w:bCs/>
                <w:color w:val="000000"/>
                <w:sz w:val="24"/>
                <w:szCs w:val="24"/>
              </w:rPr>
              <w:t>一、报价分</w:t>
            </w:r>
          </w:p>
        </w:tc>
        <w:tc>
          <w:tcPr>
            <w:tcW w:w="6559" w:type="dxa"/>
            <w:tcMar>
              <w:left w:w="108" w:type="dxa"/>
              <w:right w:w="108" w:type="dxa"/>
            </w:tcMar>
            <w:vAlign w:val="center"/>
          </w:tcPr>
          <w:p w14:paraId="763D3DA2">
            <w:pPr>
              <w:pStyle w:val="2"/>
              <w:snapToGrid w:val="0"/>
              <w:spacing w:line="240" w:lineRule="auto"/>
              <w:ind w:firstLine="0" w:firstLineChars="0"/>
              <w:jc w:val="left"/>
              <w:rPr>
                <w:rFonts w:ascii="仿宋" w:hAnsi="宋体" w:eastAsia="仿宋" w:cs="宋体"/>
                <w:color w:val="000000"/>
                <w:sz w:val="24"/>
                <w:szCs w:val="24"/>
              </w:rPr>
            </w:pPr>
            <w:r>
              <w:rPr>
                <w:rFonts w:hint="eastAsia" w:ascii="仿宋" w:hAnsi="仿宋" w:eastAsia="仿宋" w:cs="仿宋"/>
                <w:bCs/>
                <w:sz w:val="24"/>
                <w:szCs w:val="24"/>
              </w:rPr>
              <w:t>报价方式：参照原国家计委《关于印发招标代理服务收费管理暂行办法的通知》（计价格〔2002〕1980号）文件自报下浮率，每下浮1%得1分。</w:t>
            </w:r>
          </w:p>
        </w:tc>
        <w:tc>
          <w:tcPr>
            <w:tcW w:w="927" w:type="dxa"/>
            <w:tcMar>
              <w:left w:w="108" w:type="dxa"/>
              <w:right w:w="108" w:type="dxa"/>
            </w:tcMar>
            <w:vAlign w:val="center"/>
          </w:tcPr>
          <w:p w14:paraId="45451651">
            <w:pPr>
              <w:autoSpaceDE w:val="0"/>
              <w:autoSpaceDN w:val="0"/>
              <w:adjustRightInd w:val="0"/>
              <w:snapToGrid w:val="0"/>
              <w:jc w:val="center"/>
              <w:rPr>
                <w:rFonts w:ascii="仿宋" w:hAnsi="宋体" w:eastAsia="仿宋" w:cs="宋体"/>
                <w:b/>
                <w:color w:val="000000"/>
                <w:sz w:val="24"/>
                <w:szCs w:val="24"/>
              </w:rPr>
            </w:pPr>
            <w:r>
              <w:rPr>
                <w:rFonts w:hint="eastAsia" w:ascii="仿宋" w:hAnsi="宋体" w:eastAsia="仿宋" w:cs="宋体"/>
                <w:color w:val="000000"/>
                <w:sz w:val="24"/>
                <w:szCs w:val="24"/>
              </w:rPr>
              <w:t>20分</w:t>
            </w:r>
          </w:p>
        </w:tc>
      </w:tr>
      <w:tr w14:paraId="64E1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tcMar>
              <w:left w:w="108" w:type="dxa"/>
              <w:right w:w="108" w:type="dxa"/>
            </w:tcMar>
            <w:vAlign w:val="center"/>
          </w:tcPr>
          <w:p w14:paraId="28DB304E">
            <w:pPr>
              <w:snapToGrid w:val="0"/>
              <w:jc w:val="left"/>
              <w:rPr>
                <w:rFonts w:ascii="仿宋" w:hAnsi="宋体" w:eastAsia="仿宋" w:cs="宋体"/>
                <w:b/>
                <w:bCs/>
                <w:color w:val="000000"/>
                <w:sz w:val="24"/>
                <w:szCs w:val="24"/>
              </w:rPr>
            </w:pPr>
            <w:r>
              <w:rPr>
                <w:rFonts w:hint="eastAsia" w:ascii="仿宋" w:hAnsi="宋体" w:eastAsia="仿宋" w:cs="宋体"/>
                <w:b/>
                <w:bCs/>
                <w:color w:val="000000"/>
                <w:sz w:val="24"/>
                <w:szCs w:val="24"/>
              </w:rPr>
              <w:t>二、针对本项目的服务方案</w:t>
            </w:r>
          </w:p>
        </w:tc>
        <w:tc>
          <w:tcPr>
            <w:tcW w:w="6559" w:type="dxa"/>
            <w:tcMar>
              <w:left w:w="108" w:type="dxa"/>
              <w:right w:w="108" w:type="dxa"/>
            </w:tcMar>
            <w:vAlign w:val="center"/>
          </w:tcPr>
          <w:p w14:paraId="38C92F63">
            <w:pPr>
              <w:pStyle w:val="2"/>
              <w:snapToGrid w:val="0"/>
              <w:spacing w:line="240" w:lineRule="auto"/>
              <w:ind w:firstLine="0" w:firstLineChars="0"/>
              <w:jc w:val="left"/>
              <w:rPr>
                <w:rFonts w:ascii="仿宋" w:hAnsi="仿宋" w:eastAsia="仿宋" w:cs="仿宋"/>
                <w:bCs/>
                <w:sz w:val="24"/>
                <w:szCs w:val="24"/>
                <w:highlight w:val="none"/>
              </w:rPr>
            </w:pPr>
            <w:r>
              <w:rPr>
                <w:rFonts w:hint="eastAsia" w:ascii="仿宋" w:hAnsi="仿宋" w:eastAsia="仿宋" w:cs="仿宋"/>
                <w:bCs/>
                <w:sz w:val="24"/>
                <w:szCs w:val="24"/>
                <w:highlight w:val="none"/>
              </w:rPr>
              <w:t>服务方案包含但不限于代理项目工作流程、项目实施进度、公司内控管理、服务质量保证措施、服务承诺、人员配置、廉洁从业、处理质疑投诉举报措施、档案管理措施等。</w:t>
            </w:r>
          </w:p>
          <w:p w14:paraId="4AEDE52B">
            <w:pPr>
              <w:pStyle w:val="2"/>
              <w:snapToGrid w:val="0"/>
              <w:spacing w:line="240" w:lineRule="auto"/>
              <w:ind w:firstLine="0" w:firstLineChars="0"/>
              <w:jc w:val="left"/>
              <w:rPr>
                <w:rFonts w:ascii="仿宋" w:hAnsi="仿宋" w:eastAsia="仿宋" w:cs="仿宋"/>
                <w:bCs/>
                <w:sz w:val="24"/>
                <w:szCs w:val="24"/>
                <w:highlight w:val="none"/>
              </w:rPr>
            </w:pPr>
            <w:r>
              <w:rPr>
                <w:rFonts w:hint="eastAsia" w:ascii="仿宋" w:hAnsi="仿宋" w:eastAsia="仿宋" w:cs="仿宋"/>
                <w:bCs/>
                <w:sz w:val="24"/>
                <w:szCs w:val="24"/>
                <w:highlight w:val="none"/>
              </w:rPr>
              <w:t>1.服务方案内容详尽，涵盖所有关键领域，具体措施明确，对代理工作内容及流程充分了解、能准确把握项目定位，对服务内容、操作、实施和管理有全面周到的考虑和安排，方案详尽、全面的得</w:t>
            </w:r>
            <w:r>
              <w:rPr>
                <w:rFonts w:hint="eastAsia" w:ascii="仿宋" w:hAnsi="仿宋" w:eastAsia="仿宋" w:cs="仿宋"/>
                <w:bCs/>
                <w:sz w:val="24"/>
                <w:szCs w:val="24"/>
                <w:highlight w:val="none"/>
                <w:lang w:val="en-US" w:eastAsia="zh-CN"/>
              </w:rPr>
              <w:t>10</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15</w:t>
            </w:r>
            <w:r>
              <w:rPr>
                <w:rFonts w:hint="eastAsia" w:ascii="仿宋" w:hAnsi="仿宋" w:eastAsia="仿宋" w:cs="仿宋"/>
                <w:bCs/>
                <w:sz w:val="24"/>
                <w:szCs w:val="24"/>
                <w:highlight w:val="none"/>
              </w:rPr>
              <w:t>；</w:t>
            </w:r>
          </w:p>
          <w:p w14:paraId="23E2152A">
            <w:pPr>
              <w:pStyle w:val="2"/>
              <w:snapToGrid w:val="0"/>
              <w:spacing w:line="240" w:lineRule="auto"/>
              <w:ind w:firstLine="0" w:firstLineChars="0"/>
              <w:jc w:val="left"/>
              <w:rPr>
                <w:rFonts w:ascii="仿宋" w:hAnsi="仿宋" w:eastAsia="仿宋" w:cs="仿宋"/>
                <w:bCs/>
                <w:sz w:val="24"/>
                <w:szCs w:val="24"/>
                <w:highlight w:val="none"/>
              </w:rPr>
            </w:pPr>
            <w:r>
              <w:rPr>
                <w:rFonts w:hint="eastAsia" w:ascii="仿宋" w:hAnsi="仿宋" w:eastAsia="仿宋" w:cs="仿宋"/>
                <w:bCs/>
                <w:sz w:val="24"/>
                <w:szCs w:val="24"/>
                <w:highlight w:val="none"/>
              </w:rPr>
              <w:t>2.服务方案内容基本完整，涵盖主要领域，但在细节和具体措施上有所欠缺，对代理工作背景有一定的了解，对项目服务内容、操作、实施和管理有一定想法，但与服务需求有一定出入的得</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－1</w:t>
            </w:r>
            <w:r>
              <w:rPr>
                <w:rFonts w:hint="eastAsia" w:ascii="仿宋" w:hAnsi="仿宋" w:eastAsia="仿宋" w:cs="仿宋"/>
                <w:bCs/>
                <w:sz w:val="24"/>
                <w:szCs w:val="24"/>
                <w:highlight w:val="none"/>
                <w:lang w:val="en-US" w:eastAsia="zh-CN"/>
              </w:rPr>
              <w:t>0</w:t>
            </w:r>
            <w:r>
              <w:rPr>
                <w:rFonts w:hint="eastAsia" w:ascii="仿宋" w:hAnsi="仿宋" w:eastAsia="仿宋" w:cs="仿宋"/>
                <w:bCs/>
                <w:sz w:val="24"/>
                <w:szCs w:val="24"/>
                <w:highlight w:val="none"/>
              </w:rPr>
              <w:t>分；</w:t>
            </w:r>
          </w:p>
          <w:p w14:paraId="6F521043">
            <w:pPr>
              <w:pStyle w:val="2"/>
              <w:snapToGrid w:val="0"/>
              <w:spacing w:line="240" w:lineRule="auto"/>
              <w:ind w:firstLine="0" w:firstLineChars="0"/>
              <w:jc w:val="left"/>
              <w:rPr>
                <w:rFonts w:ascii="仿宋" w:hAnsi="仿宋" w:eastAsia="仿宋" w:cs="仿宋"/>
                <w:bCs/>
                <w:sz w:val="24"/>
                <w:szCs w:val="24"/>
                <w:highlight w:val="none"/>
              </w:rPr>
            </w:pPr>
            <w:r>
              <w:rPr>
                <w:rFonts w:hint="eastAsia" w:ascii="仿宋" w:hAnsi="仿宋" w:eastAsia="仿宋" w:cs="仿宋"/>
                <w:bCs/>
                <w:sz w:val="24"/>
                <w:szCs w:val="24"/>
                <w:highlight w:val="none"/>
              </w:rPr>
              <w:t>3.服务方案内容不完整，缺乏关键领域的覆盖或具体措施，对项目的基本情况和服务内容不够了解，对项目定位、服务内容、操作、实施和管理的构想不全面，与服务需求有较大出得1－</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分。</w:t>
            </w:r>
          </w:p>
          <w:p w14:paraId="11C1E4FE">
            <w:pPr>
              <w:pStyle w:val="2"/>
              <w:snapToGrid w:val="0"/>
              <w:spacing w:line="240" w:lineRule="auto"/>
              <w:ind w:firstLine="0" w:firstLineChars="0"/>
              <w:jc w:val="left"/>
              <w:rPr>
                <w:rFonts w:ascii="仿宋" w:hAnsi="仿宋" w:eastAsia="仿宋" w:cs="仿宋"/>
                <w:bCs/>
                <w:sz w:val="24"/>
                <w:szCs w:val="24"/>
                <w:highlight w:val="none"/>
              </w:rPr>
            </w:pPr>
            <w:r>
              <w:rPr>
                <w:rFonts w:hint="eastAsia" w:ascii="仿宋" w:hAnsi="仿宋" w:eastAsia="仿宋" w:cs="仿宋"/>
                <w:bCs/>
                <w:sz w:val="24"/>
                <w:szCs w:val="24"/>
                <w:highlight w:val="none"/>
              </w:rPr>
              <w:t>4.未提供方案的不得分。</w:t>
            </w:r>
          </w:p>
        </w:tc>
        <w:tc>
          <w:tcPr>
            <w:tcW w:w="927" w:type="dxa"/>
            <w:tcMar>
              <w:left w:w="108" w:type="dxa"/>
              <w:right w:w="108" w:type="dxa"/>
            </w:tcMar>
            <w:vAlign w:val="center"/>
          </w:tcPr>
          <w:p w14:paraId="780DC7DA">
            <w:pPr>
              <w:autoSpaceDE w:val="0"/>
              <w:autoSpaceDN w:val="0"/>
              <w:adjustRightInd w:val="0"/>
              <w:snapToGrid w:val="0"/>
              <w:jc w:val="center"/>
              <w:rPr>
                <w:rFonts w:ascii="仿宋" w:hAnsi="宋体" w:eastAsia="仿宋" w:cs="宋体"/>
                <w:b/>
                <w:color w:val="000000"/>
                <w:sz w:val="24"/>
                <w:szCs w:val="24"/>
              </w:rPr>
            </w:pPr>
            <w:r>
              <w:rPr>
                <w:rFonts w:hint="eastAsia" w:ascii="仿宋" w:hAnsi="宋体" w:eastAsia="仿宋" w:cs="宋体"/>
                <w:color w:val="000000"/>
                <w:sz w:val="24"/>
                <w:szCs w:val="24"/>
                <w:lang w:val="en-US" w:eastAsia="zh-CN"/>
              </w:rPr>
              <w:t>15</w:t>
            </w:r>
            <w:r>
              <w:rPr>
                <w:rFonts w:hint="eastAsia" w:ascii="仿宋" w:hAnsi="宋体" w:eastAsia="仿宋" w:cs="宋体"/>
                <w:color w:val="000000"/>
                <w:sz w:val="24"/>
                <w:szCs w:val="24"/>
              </w:rPr>
              <w:t>分</w:t>
            </w:r>
          </w:p>
        </w:tc>
      </w:tr>
      <w:tr w14:paraId="5D22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5" w:hRule="atLeast"/>
          <w:jc w:val="center"/>
        </w:trPr>
        <w:tc>
          <w:tcPr>
            <w:tcW w:w="1359" w:type="dxa"/>
            <w:tcMar>
              <w:left w:w="108" w:type="dxa"/>
              <w:right w:w="108" w:type="dxa"/>
            </w:tcMar>
            <w:vAlign w:val="center"/>
          </w:tcPr>
          <w:p w14:paraId="3DE4776C">
            <w:pPr>
              <w:snapToGrid w:val="0"/>
              <w:jc w:val="left"/>
              <w:rPr>
                <w:rFonts w:ascii="仿宋" w:hAnsi="宋体" w:eastAsia="仿宋" w:cs="宋体"/>
                <w:color w:val="000000"/>
                <w:sz w:val="24"/>
                <w:szCs w:val="24"/>
                <w:lang w:val="zh-CN" w:eastAsia="en-US"/>
              </w:rPr>
            </w:pPr>
            <w:r>
              <w:rPr>
                <w:rFonts w:hint="eastAsia" w:ascii="仿宋" w:hAnsi="宋体" w:eastAsia="仿宋" w:cs="宋体"/>
                <w:b/>
                <w:bCs/>
                <w:color w:val="000000"/>
                <w:sz w:val="24"/>
                <w:szCs w:val="24"/>
              </w:rPr>
              <w:t>三、</w:t>
            </w:r>
            <w:r>
              <w:rPr>
                <w:rFonts w:hint="eastAsia" w:ascii="仿宋" w:hAnsi="宋体" w:eastAsia="仿宋" w:cs="宋体"/>
                <w:b/>
                <w:bCs/>
                <w:color w:val="000000"/>
                <w:sz w:val="24"/>
                <w:szCs w:val="24"/>
                <w:lang w:val="zh-CN"/>
              </w:rPr>
              <w:t>营业场地情况</w:t>
            </w:r>
          </w:p>
        </w:tc>
        <w:tc>
          <w:tcPr>
            <w:tcW w:w="6559" w:type="dxa"/>
            <w:tcMar>
              <w:left w:w="108" w:type="dxa"/>
              <w:right w:w="108" w:type="dxa"/>
            </w:tcMar>
            <w:vAlign w:val="center"/>
          </w:tcPr>
          <w:p w14:paraId="1EF28575">
            <w:pPr>
              <w:suppressAutoHyphens/>
              <w:snapToGrid w:val="0"/>
              <w:jc w:val="left"/>
              <w:rPr>
                <w:rFonts w:ascii="仿宋" w:hAnsi="仿宋" w:eastAsia="仿宋" w:cs="仿宋"/>
                <w:bCs/>
                <w:sz w:val="24"/>
                <w:szCs w:val="24"/>
                <w:highlight w:val="none"/>
              </w:rPr>
            </w:pPr>
            <w:r>
              <w:rPr>
                <w:rFonts w:hint="eastAsia" w:ascii="仿宋" w:hAnsi="仿宋" w:eastAsia="仿宋" w:cs="仿宋"/>
                <w:bCs/>
                <w:sz w:val="24"/>
                <w:szCs w:val="24"/>
                <w:highlight w:val="none"/>
              </w:rPr>
              <w:t>1.办公面积1000平米及以上得5分；600～1000平米（不含）得3分；300～600平米（不含）得1分；300平米（不含）以下得0分；无办公室场所或未提供合格证明材料，得0分。（办公场所为自有的提供产权证复印件及场所照片证明材料复印件并加盖公章；办公场所为租赁的提供办公场所租赁合同及场所照片证明材料复印件并加盖公章，未提供或未按要求提供的不得分）</w:t>
            </w:r>
          </w:p>
          <w:p w14:paraId="28E4508A">
            <w:pPr>
              <w:suppressAutoHyphens/>
              <w:snapToGrid w:val="0"/>
              <w:jc w:val="left"/>
              <w:rPr>
                <w:rFonts w:ascii="仿宋" w:hAnsi="宋体" w:eastAsia="仿宋" w:cs="宋体"/>
                <w:color w:val="000000"/>
                <w:sz w:val="24"/>
                <w:szCs w:val="24"/>
                <w:highlight w:val="none"/>
              </w:rPr>
            </w:pPr>
            <w:r>
              <w:rPr>
                <w:rFonts w:hint="eastAsia" w:ascii="仿宋" w:hAnsi="仿宋" w:eastAsia="仿宋" w:cs="仿宋"/>
                <w:bCs/>
                <w:sz w:val="24"/>
                <w:szCs w:val="24"/>
                <w:highlight w:val="none"/>
              </w:rPr>
              <w:t>2.设置有独立的开标厅（室）、评标厅（室）、档案管理室，安装有视频监控系统得5分。（提供办公场所平面示意图和现场图片、安装有视频监控系统照片）</w:t>
            </w:r>
          </w:p>
        </w:tc>
        <w:tc>
          <w:tcPr>
            <w:tcW w:w="927" w:type="dxa"/>
            <w:tcMar>
              <w:left w:w="108" w:type="dxa"/>
              <w:right w:w="108" w:type="dxa"/>
            </w:tcMar>
            <w:vAlign w:val="center"/>
          </w:tcPr>
          <w:p w14:paraId="6DFC5F4F">
            <w:pPr>
              <w:autoSpaceDE w:val="0"/>
              <w:autoSpaceDN w:val="0"/>
              <w:adjustRightInd w:val="0"/>
              <w:snapToGrid w:val="0"/>
              <w:jc w:val="center"/>
              <w:rPr>
                <w:rFonts w:ascii="仿宋" w:hAnsi="宋体" w:eastAsia="仿宋" w:cs="宋体"/>
                <w:color w:val="000000"/>
                <w:sz w:val="24"/>
                <w:szCs w:val="24"/>
              </w:rPr>
            </w:pPr>
            <w:r>
              <w:rPr>
                <w:rFonts w:hint="eastAsia" w:ascii="仿宋" w:hAnsi="宋体" w:eastAsia="仿宋" w:cs="宋体"/>
                <w:color w:val="000000"/>
                <w:sz w:val="24"/>
                <w:szCs w:val="24"/>
              </w:rPr>
              <w:t>10分</w:t>
            </w:r>
          </w:p>
        </w:tc>
      </w:tr>
      <w:tr w14:paraId="2FD2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tcMar>
              <w:left w:w="108" w:type="dxa"/>
              <w:right w:w="108" w:type="dxa"/>
            </w:tcMar>
            <w:vAlign w:val="center"/>
          </w:tcPr>
          <w:p w14:paraId="140136D8">
            <w:pPr>
              <w:snapToGrid w:val="0"/>
              <w:jc w:val="left"/>
              <w:rPr>
                <w:rFonts w:ascii="仿宋" w:hAnsi="宋体" w:eastAsia="仿宋" w:cs="宋体"/>
                <w:b/>
                <w:bCs/>
                <w:color w:val="000000"/>
                <w:sz w:val="24"/>
                <w:szCs w:val="24"/>
              </w:rPr>
            </w:pPr>
            <w:r>
              <w:rPr>
                <w:rFonts w:hint="eastAsia" w:ascii="仿宋" w:hAnsi="宋体" w:eastAsia="仿宋" w:cs="宋体"/>
                <w:b/>
                <w:bCs/>
                <w:color w:val="000000"/>
                <w:sz w:val="24"/>
                <w:szCs w:val="24"/>
              </w:rPr>
              <w:t>四、</w:t>
            </w:r>
            <w:r>
              <w:rPr>
                <w:rFonts w:hint="eastAsia" w:ascii="仿宋" w:hAnsi="宋体" w:eastAsia="仿宋" w:cs="宋体"/>
                <w:b/>
                <w:bCs/>
                <w:color w:val="000000"/>
                <w:sz w:val="24"/>
                <w:szCs w:val="24"/>
                <w:lang w:val="zh-CN"/>
              </w:rPr>
              <w:t>拟投入本项目的项目负责人</w:t>
            </w:r>
          </w:p>
        </w:tc>
        <w:tc>
          <w:tcPr>
            <w:tcW w:w="6559" w:type="dxa"/>
            <w:tcMar>
              <w:left w:w="108" w:type="dxa"/>
              <w:right w:w="108" w:type="dxa"/>
            </w:tcMar>
            <w:vAlign w:val="center"/>
          </w:tcPr>
          <w:p w14:paraId="624C03DD">
            <w:pPr>
              <w:suppressAutoHyphens/>
              <w:snapToGrid w:val="0"/>
              <w:jc w:val="left"/>
              <w:rPr>
                <w:rFonts w:ascii="仿宋" w:hAnsi="仿宋" w:eastAsia="仿宋" w:cs="仿宋"/>
                <w:bCs/>
                <w:sz w:val="24"/>
                <w:szCs w:val="24"/>
                <w:highlight w:val="none"/>
              </w:rPr>
            </w:pPr>
            <w:r>
              <w:rPr>
                <w:rFonts w:hint="eastAsia" w:ascii="仿宋" w:hAnsi="仿宋" w:eastAsia="仿宋" w:cs="仿宋"/>
                <w:bCs/>
                <w:sz w:val="24"/>
                <w:szCs w:val="24"/>
                <w:highlight w:val="none"/>
              </w:rPr>
              <w:t>1.项目负责人从事招标代理行业</w:t>
            </w:r>
            <w:r>
              <w:rPr>
                <w:rFonts w:ascii="仿宋" w:hAnsi="仿宋" w:eastAsia="仿宋" w:cs="仿宋"/>
                <w:bCs/>
                <w:sz w:val="24"/>
                <w:szCs w:val="24"/>
                <w:highlight w:val="none"/>
              </w:rPr>
              <w:t>10</w:t>
            </w:r>
            <w:r>
              <w:rPr>
                <w:rFonts w:hint="eastAsia" w:ascii="仿宋" w:hAnsi="仿宋" w:eastAsia="仿宋" w:cs="仿宋"/>
                <w:bCs/>
                <w:sz w:val="24"/>
                <w:szCs w:val="24"/>
                <w:highlight w:val="none"/>
              </w:rPr>
              <w:t>年及以上的得5分；</w:t>
            </w:r>
            <w:r>
              <w:rPr>
                <w:rFonts w:ascii="仿宋" w:hAnsi="仿宋" w:eastAsia="仿宋" w:cs="仿宋"/>
                <w:bCs/>
                <w:sz w:val="24"/>
                <w:szCs w:val="24"/>
                <w:highlight w:val="none"/>
              </w:rPr>
              <w:t>5</w:t>
            </w:r>
            <w:r>
              <w:rPr>
                <w:rFonts w:hint="eastAsia" w:ascii="仿宋" w:hAnsi="仿宋" w:eastAsia="仿宋" w:cs="仿宋"/>
                <w:bCs/>
                <w:sz w:val="24"/>
                <w:szCs w:val="24"/>
                <w:highlight w:val="none"/>
              </w:rPr>
              <w:t>年及以上不足</w:t>
            </w:r>
            <w:r>
              <w:rPr>
                <w:rFonts w:ascii="仿宋" w:hAnsi="仿宋" w:eastAsia="仿宋" w:cs="仿宋"/>
                <w:bCs/>
                <w:sz w:val="24"/>
                <w:szCs w:val="24"/>
                <w:highlight w:val="none"/>
              </w:rPr>
              <w:t>10</w:t>
            </w:r>
            <w:r>
              <w:rPr>
                <w:rFonts w:hint="eastAsia" w:ascii="仿宋" w:hAnsi="仿宋" w:eastAsia="仿宋" w:cs="仿宋"/>
                <w:bCs/>
                <w:sz w:val="24"/>
                <w:szCs w:val="24"/>
                <w:highlight w:val="none"/>
              </w:rPr>
              <w:t>年的得</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分；</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年及以上不足</w:t>
            </w:r>
            <w:r>
              <w:rPr>
                <w:rFonts w:hint="eastAsia" w:ascii="仿宋" w:hAnsi="仿宋" w:eastAsia="仿宋" w:cs="仿宋"/>
                <w:bCs/>
                <w:sz w:val="24"/>
                <w:szCs w:val="24"/>
                <w:highlight w:val="none"/>
                <w:lang w:val="en-US" w:eastAsia="zh-CN"/>
              </w:rPr>
              <w:t>5</w:t>
            </w:r>
            <w:r>
              <w:rPr>
                <w:rFonts w:hint="eastAsia" w:ascii="仿宋" w:hAnsi="仿宋" w:eastAsia="仿宋" w:cs="仿宋"/>
                <w:bCs/>
                <w:sz w:val="24"/>
                <w:szCs w:val="24"/>
                <w:highlight w:val="none"/>
              </w:rPr>
              <w:t>年的得</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分；</w:t>
            </w:r>
            <w:r>
              <w:rPr>
                <w:rFonts w:hint="eastAsia" w:ascii="仿宋" w:hAnsi="仿宋" w:eastAsia="仿宋" w:cs="仿宋"/>
                <w:bCs/>
                <w:sz w:val="24"/>
                <w:szCs w:val="24"/>
                <w:highlight w:val="none"/>
                <w:lang w:val="en-US" w:eastAsia="zh-CN"/>
              </w:rPr>
              <w:t>3</w:t>
            </w:r>
            <w:r>
              <w:rPr>
                <w:rFonts w:hint="eastAsia" w:ascii="仿宋" w:hAnsi="仿宋" w:eastAsia="仿宋" w:cs="仿宋"/>
                <w:bCs/>
                <w:sz w:val="24"/>
                <w:szCs w:val="24"/>
                <w:highlight w:val="none"/>
              </w:rPr>
              <w:t>年以下不得分。（需提供招标代理机构社保缴纳时间作为工作年限的证明材料，如为退休人员，退休前需要代理机构购买社保满足年限，并提供退休证等证明材料）</w:t>
            </w:r>
          </w:p>
          <w:p w14:paraId="77D2DDB8">
            <w:pPr>
              <w:pStyle w:val="12"/>
              <w:rPr>
                <w:highlight w:val="none"/>
              </w:rPr>
            </w:pPr>
            <w:r>
              <w:rPr>
                <w:rFonts w:hint="eastAsia" w:ascii="仿宋" w:hAnsi="仿宋" w:eastAsia="仿宋" w:cs="仿宋"/>
                <w:bCs/>
                <w:sz w:val="24"/>
                <w:szCs w:val="24"/>
                <w:highlight w:val="none"/>
              </w:rPr>
              <w:t>2.项目负责人具有高级职称证书的得5分，具有中级职称证书的得2分（提供证书复印件或扫描件加盖公章）</w:t>
            </w:r>
          </w:p>
          <w:p w14:paraId="48E3E289">
            <w:pPr>
              <w:suppressAutoHyphens/>
              <w:snapToGrid w:val="0"/>
              <w:jc w:val="left"/>
              <w:rPr>
                <w:rFonts w:ascii="仿宋" w:hAnsi="Calibri" w:eastAsia="仿宋"/>
                <w:sz w:val="24"/>
                <w:szCs w:val="24"/>
                <w:highlight w:val="none"/>
              </w:rPr>
            </w:pPr>
            <w:r>
              <w:rPr>
                <w:rFonts w:hint="eastAsia" w:ascii="仿宋" w:hAnsi="仿宋" w:eastAsia="仿宋" w:cs="仿宋"/>
                <w:bCs/>
                <w:sz w:val="24"/>
                <w:szCs w:val="24"/>
                <w:highlight w:val="none"/>
              </w:rPr>
              <w:t>3.项目负责人具有招标采购项目经理（负</w:t>
            </w:r>
            <w:bookmarkStart w:id="1" w:name="_GoBack"/>
            <w:bookmarkEnd w:id="1"/>
            <w:r>
              <w:rPr>
                <w:rFonts w:hint="eastAsia" w:ascii="仿宋" w:hAnsi="仿宋" w:eastAsia="仿宋" w:cs="仿宋"/>
                <w:bCs/>
                <w:sz w:val="24"/>
                <w:szCs w:val="24"/>
                <w:highlight w:val="none"/>
              </w:rPr>
              <w:t>责人）能力考评证书得5分。（证书须在有效期内，提供证书复印件或扫描件加盖公章）</w:t>
            </w:r>
          </w:p>
        </w:tc>
        <w:tc>
          <w:tcPr>
            <w:tcW w:w="927" w:type="dxa"/>
            <w:tcMar>
              <w:left w:w="108" w:type="dxa"/>
              <w:right w:w="108" w:type="dxa"/>
            </w:tcMar>
            <w:vAlign w:val="center"/>
          </w:tcPr>
          <w:p w14:paraId="729FF806">
            <w:pPr>
              <w:snapToGrid w:val="0"/>
              <w:jc w:val="center"/>
              <w:rPr>
                <w:rFonts w:ascii="仿宋" w:hAnsi="宋体" w:eastAsia="仿宋" w:cs="宋体"/>
                <w:color w:val="000000"/>
                <w:sz w:val="24"/>
                <w:szCs w:val="24"/>
              </w:rPr>
            </w:pPr>
            <w:r>
              <w:rPr>
                <w:rFonts w:hint="eastAsia" w:ascii="仿宋" w:hAnsi="宋体" w:eastAsia="仿宋" w:cs="宋体"/>
                <w:color w:val="000000"/>
                <w:sz w:val="24"/>
                <w:szCs w:val="24"/>
              </w:rPr>
              <w:t>15分</w:t>
            </w:r>
          </w:p>
        </w:tc>
      </w:tr>
      <w:tr w14:paraId="5592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tcMar>
              <w:left w:w="108" w:type="dxa"/>
              <w:right w:w="108" w:type="dxa"/>
            </w:tcMar>
            <w:vAlign w:val="center"/>
          </w:tcPr>
          <w:p w14:paraId="174C4FA8">
            <w:pPr>
              <w:snapToGrid w:val="0"/>
              <w:spacing w:before="6"/>
              <w:jc w:val="left"/>
              <w:rPr>
                <w:rFonts w:ascii="仿宋" w:hAnsi="宋体" w:eastAsia="仿宋" w:cs="宋体"/>
                <w:color w:val="000000"/>
                <w:sz w:val="24"/>
                <w:szCs w:val="24"/>
              </w:rPr>
            </w:pPr>
            <w:r>
              <w:rPr>
                <w:rFonts w:hint="eastAsia" w:ascii="仿宋" w:hAnsi="宋体" w:eastAsia="仿宋" w:cs="宋体"/>
                <w:b/>
                <w:bCs/>
                <w:color w:val="000000"/>
                <w:sz w:val="24"/>
                <w:szCs w:val="24"/>
              </w:rPr>
              <w:t>五、</w:t>
            </w:r>
            <w:r>
              <w:rPr>
                <w:rFonts w:hint="eastAsia" w:ascii="仿宋" w:hAnsi="宋体" w:eastAsia="仿宋" w:cs="宋体"/>
                <w:b/>
                <w:bCs/>
                <w:color w:val="000000"/>
                <w:sz w:val="24"/>
                <w:szCs w:val="24"/>
                <w:lang w:val="zh-CN"/>
              </w:rPr>
              <w:t>企业荣誉</w:t>
            </w:r>
            <w:r>
              <w:rPr>
                <w:rFonts w:hint="eastAsia" w:ascii="仿宋" w:hAnsi="宋体" w:eastAsia="仿宋" w:cs="宋体"/>
                <w:b/>
                <w:bCs/>
                <w:color w:val="000000"/>
                <w:sz w:val="24"/>
                <w:szCs w:val="24"/>
              </w:rPr>
              <w:t>及实力</w:t>
            </w:r>
          </w:p>
        </w:tc>
        <w:tc>
          <w:tcPr>
            <w:tcW w:w="6559" w:type="dxa"/>
            <w:tcMar>
              <w:left w:w="108" w:type="dxa"/>
              <w:right w:w="108" w:type="dxa"/>
            </w:tcMar>
            <w:vAlign w:val="center"/>
          </w:tcPr>
          <w:p w14:paraId="3C60FAD7">
            <w:pPr>
              <w:suppressAutoHyphens/>
              <w:snapToGrid w:val="0"/>
              <w:jc w:val="left"/>
              <w:rPr>
                <w:rFonts w:ascii="仿宋" w:hAnsi="仿宋" w:eastAsia="仿宋" w:cs="仿宋"/>
                <w:bCs/>
                <w:sz w:val="24"/>
                <w:szCs w:val="24"/>
                <w:highlight w:val="none"/>
                <w:lang w:val="zh-CN"/>
              </w:rPr>
            </w:pPr>
            <w:r>
              <w:rPr>
                <w:rFonts w:hint="eastAsia" w:ascii="仿宋" w:hAnsi="仿宋" w:eastAsia="仿宋" w:cs="仿宋"/>
                <w:bCs/>
                <w:sz w:val="24"/>
                <w:szCs w:val="24"/>
                <w:highlight w:val="none"/>
                <w:lang w:val="zh-CN"/>
              </w:rPr>
              <w:t>1.</w:t>
            </w:r>
            <w:r>
              <w:rPr>
                <w:rFonts w:hint="eastAsia" w:ascii="仿宋" w:hAnsi="仿宋" w:eastAsia="仿宋" w:cs="仿宋"/>
                <w:bCs/>
                <w:sz w:val="24"/>
                <w:szCs w:val="24"/>
                <w:highlight w:val="none"/>
              </w:rPr>
              <w:t>2023年以来</w:t>
            </w:r>
            <w:r>
              <w:rPr>
                <w:rFonts w:hint="eastAsia" w:ascii="仿宋" w:hAnsi="仿宋" w:eastAsia="仿宋" w:cs="仿宋"/>
                <w:bCs/>
                <w:sz w:val="24"/>
                <w:szCs w:val="24"/>
                <w:highlight w:val="none"/>
                <w:lang w:val="zh-CN"/>
              </w:rPr>
              <w:t>获得省级招标行业协会颁发的“优秀招标代理机构”称号或“资信评价为甲级”荣誉的，每获得一次得</w:t>
            </w:r>
            <w:r>
              <w:rPr>
                <w:rFonts w:ascii="仿宋" w:hAnsi="仿宋" w:eastAsia="仿宋" w:cs="仿宋"/>
                <w:bCs/>
                <w:sz w:val="24"/>
                <w:szCs w:val="24"/>
                <w:highlight w:val="none"/>
                <w:lang w:val="zh-CN"/>
              </w:rPr>
              <w:t>5</w:t>
            </w:r>
            <w:r>
              <w:rPr>
                <w:rFonts w:hint="eastAsia" w:ascii="仿宋" w:hAnsi="仿宋" w:eastAsia="仿宋" w:cs="仿宋"/>
                <w:bCs/>
                <w:sz w:val="24"/>
                <w:szCs w:val="24"/>
                <w:highlight w:val="none"/>
                <w:lang w:val="zh-CN"/>
              </w:rPr>
              <w:t>分，满分10分。（提供荣誉证书或牌匾或红头文件等证明材料复印件或扫描件加盖公章，以证书标注的获奖年度为准）；</w:t>
            </w:r>
          </w:p>
          <w:p w14:paraId="4B2BA930">
            <w:pPr>
              <w:numPr>
                <w:ilvl w:val="0"/>
                <w:numId w:val="1"/>
              </w:numPr>
              <w:suppressAutoHyphens/>
              <w:snapToGrid w:val="0"/>
              <w:jc w:val="left"/>
              <w:rPr>
                <w:rFonts w:ascii="仿宋" w:hAnsi="宋体" w:eastAsia="仿宋" w:cs="宋体"/>
                <w:color w:val="000000"/>
                <w:sz w:val="24"/>
                <w:szCs w:val="24"/>
                <w:highlight w:val="none"/>
              </w:rPr>
            </w:pPr>
            <w:r>
              <w:rPr>
                <w:rFonts w:hint="eastAsia" w:ascii="仿宋" w:hAnsi="仿宋" w:eastAsia="仿宋" w:cs="仿宋"/>
                <w:bCs/>
                <w:sz w:val="24"/>
                <w:szCs w:val="24"/>
                <w:highlight w:val="none"/>
                <w:lang w:val="zh-CN"/>
              </w:rPr>
              <w:t>招标代理机构获得招标采购专职从业人员能力考评证书的人员</w:t>
            </w:r>
            <w:r>
              <w:rPr>
                <w:rFonts w:hint="eastAsia" w:ascii="仿宋" w:hAnsi="仿宋" w:eastAsia="仿宋" w:cs="仿宋"/>
                <w:bCs/>
                <w:sz w:val="24"/>
                <w:szCs w:val="24"/>
                <w:highlight w:val="none"/>
                <w:lang w:val="en-US" w:eastAsia="zh-CN"/>
              </w:rPr>
              <w:t>15人以上的10分，10人至14人得7分，5</w:t>
            </w:r>
            <w:r>
              <w:rPr>
                <w:rFonts w:hint="eastAsia" w:ascii="仿宋" w:hAnsi="仿宋" w:eastAsia="仿宋" w:cs="仿宋"/>
                <w:bCs/>
                <w:sz w:val="24"/>
                <w:szCs w:val="24"/>
                <w:highlight w:val="none"/>
                <w:lang w:val="zh-CN"/>
              </w:rPr>
              <w:t>人至</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lang w:val="zh-CN"/>
              </w:rPr>
              <w:t>人得</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lang w:val="zh-CN"/>
              </w:rPr>
              <w:t>分，</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lang w:val="zh-CN"/>
              </w:rPr>
              <w:t>人至</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lang w:val="zh-CN"/>
              </w:rPr>
              <w:t>人得1分。（提供人员证书复印件或扫描件加盖公章）</w:t>
            </w:r>
          </w:p>
        </w:tc>
        <w:tc>
          <w:tcPr>
            <w:tcW w:w="927" w:type="dxa"/>
            <w:tcMar>
              <w:left w:w="108" w:type="dxa"/>
              <w:right w:w="108" w:type="dxa"/>
            </w:tcMar>
            <w:vAlign w:val="center"/>
          </w:tcPr>
          <w:p w14:paraId="29B0297A">
            <w:pPr>
              <w:autoSpaceDE w:val="0"/>
              <w:autoSpaceDN w:val="0"/>
              <w:adjustRightInd w:val="0"/>
              <w:snapToGrid w:val="0"/>
              <w:jc w:val="center"/>
              <w:rPr>
                <w:rFonts w:ascii="仿宋" w:hAnsi="宋体" w:eastAsia="仿宋" w:cs="宋体"/>
                <w:b/>
                <w:color w:val="000000"/>
                <w:sz w:val="24"/>
                <w:szCs w:val="24"/>
              </w:rPr>
            </w:pPr>
            <w:r>
              <w:rPr>
                <w:rFonts w:hint="eastAsia" w:ascii="仿宋" w:hAnsi="宋体" w:eastAsia="仿宋" w:cs="宋体"/>
                <w:color w:val="000000"/>
                <w:sz w:val="24"/>
                <w:szCs w:val="24"/>
                <w:lang w:val="en-US" w:eastAsia="zh-CN"/>
              </w:rPr>
              <w:t>20</w:t>
            </w:r>
            <w:r>
              <w:rPr>
                <w:rFonts w:hint="eastAsia" w:ascii="仿宋" w:hAnsi="宋体" w:eastAsia="仿宋" w:cs="宋体"/>
                <w:color w:val="000000"/>
                <w:sz w:val="24"/>
                <w:szCs w:val="24"/>
              </w:rPr>
              <w:t>分</w:t>
            </w:r>
          </w:p>
        </w:tc>
      </w:tr>
      <w:tr w14:paraId="4B5E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9" w:type="dxa"/>
            <w:tcMar>
              <w:left w:w="108" w:type="dxa"/>
              <w:right w:w="108" w:type="dxa"/>
            </w:tcMar>
            <w:vAlign w:val="center"/>
          </w:tcPr>
          <w:p w14:paraId="00F8C8BA">
            <w:pPr>
              <w:snapToGrid w:val="0"/>
              <w:jc w:val="left"/>
              <w:rPr>
                <w:rFonts w:ascii="仿宋" w:hAnsi="宋体" w:eastAsia="仿宋" w:cs="宋体"/>
                <w:color w:val="000000"/>
                <w:sz w:val="24"/>
                <w:szCs w:val="24"/>
                <w:lang w:val="zh-CN"/>
              </w:rPr>
            </w:pPr>
            <w:r>
              <w:rPr>
                <w:rFonts w:hint="eastAsia" w:ascii="仿宋" w:hAnsi="宋体" w:eastAsia="仿宋" w:cs="宋体"/>
                <w:b/>
                <w:bCs/>
                <w:color w:val="000000"/>
                <w:sz w:val="24"/>
                <w:szCs w:val="24"/>
              </w:rPr>
              <w:t>六、</w:t>
            </w:r>
            <w:r>
              <w:rPr>
                <w:rFonts w:hint="eastAsia" w:ascii="仿宋" w:hAnsi="宋体" w:eastAsia="仿宋" w:cs="宋体"/>
                <w:b/>
                <w:bCs/>
                <w:color w:val="000000"/>
                <w:sz w:val="24"/>
                <w:szCs w:val="24"/>
                <w:lang w:val="zh-CN"/>
              </w:rPr>
              <w:t>业绩</w:t>
            </w:r>
          </w:p>
        </w:tc>
        <w:tc>
          <w:tcPr>
            <w:tcW w:w="6559" w:type="dxa"/>
            <w:tcMar>
              <w:left w:w="108" w:type="dxa"/>
              <w:right w:w="108" w:type="dxa"/>
            </w:tcMar>
            <w:vAlign w:val="center"/>
          </w:tcPr>
          <w:p w14:paraId="74D51B64">
            <w:pPr>
              <w:suppressAutoHyphens/>
              <w:snapToGrid w:val="0"/>
              <w:jc w:val="left"/>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1.提供政府采购业绩，</w:t>
            </w:r>
            <w:bookmarkStart w:id="0" w:name="OLE_LINK3"/>
            <w:r>
              <w:rPr>
                <w:rFonts w:hint="eastAsia" w:ascii="仿宋" w:hAnsi="仿宋" w:eastAsia="仿宋" w:cs="仿宋"/>
                <w:bCs/>
                <w:sz w:val="24"/>
                <w:szCs w:val="24"/>
                <w:highlight w:val="none"/>
              </w:rPr>
              <w:t>每提供一个得2分，最多</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0分</w:t>
            </w:r>
            <w:bookmarkEnd w:id="0"/>
            <w:r>
              <w:rPr>
                <w:rFonts w:hint="eastAsia" w:ascii="仿宋" w:hAnsi="仿宋" w:eastAsia="仿宋" w:cs="仿宋"/>
                <w:bCs/>
                <w:sz w:val="24"/>
                <w:szCs w:val="24"/>
                <w:highlight w:val="none"/>
                <w:lang w:eastAsia="zh-CN"/>
              </w:rPr>
              <w:t>；</w:t>
            </w:r>
          </w:p>
          <w:p w14:paraId="15F16D0B">
            <w:pPr>
              <w:suppressAutoHyphens/>
              <w:snapToGrid w:val="0"/>
              <w:jc w:val="left"/>
              <w:rPr>
                <w:rFonts w:ascii="仿宋" w:hAnsi="仿宋" w:eastAsia="仿宋" w:cs="仿宋"/>
                <w:bCs/>
                <w:sz w:val="24"/>
                <w:szCs w:val="24"/>
                <w:highlight w:val="none"/>
              </w:rPr>
            </w:pPr>
            <w:r>
              <w:rPr>
                <w:rFonts w:hint="eastAsia" w:ascii="仿宋" w:hAnsi="仿宋" w:eastAsia="仿宋" w:cs="仿宋"/>
                <w:bCs/>
                <w:sz w:val="24"/>
                <w:szCs w:val="24"/>
                <w:highlight w:val="none"/>
              </w:rPr>
              <w:t>2.代理机构提供服务的采购人为省级及以上预算单位的，每有一家得2分</w:t>
            </w:r>
            <w:r>
              <w:rPr>
                <w:rFonts w:hint="eastAsia" w:ascii="仿宋" w:hAnsi="仿宋" w:eastAsia="仿宋" w:cs="仿宋"/>
                <w:bCs/>
                <w:sz w:val="24"/>
                <w:szCs w:val="24"/>
                <w:highlight w:val="none"/>
                <w:lang w:eastAsia="zh-CN"/>
              </w:rPr>
              <w:t>，</w:t>
            </w:r>
            <w:r>
              <w:rPr>
                <w:rFonts w:hint="eastAsia" w:ascii="仿宋" w:hAnsi="仿宋" w:eastAsia="仿宋" w:cs="仿宋"/>
                <w:bCs/>
                <w:sz w:val="24"/>
                <w:szCs w:val="24"/>
                <w:highlight w:val="none"/>
              </w:rPr>
              <w:t>最多得10分。</w:t>
            </w:r>
          </w:p>
          <w:p w14:paraId="5B0D9AD5">
            <w:pPr>
              <w:suppressAutoHyphens/>
              <w:snapToGrid w:val="0"/>
              <w:jc w:val="left"/>
              <w:rPr>
                <w:rFonts w:ascii="仿宋" w:hAnsi="Calibri" w:eastAsia="仿宋"/>
                <w:color w:val="000000"/>
                <w:sz w:val="24"/>
                <w:szCs w:val="24"/>
                <w:highlight w:val="none"/>
              </w:rPr>
            </w:pPr>
            <w:r>
              <w:rPr>
                <w:rFonts w:hint="eastAsia" w:ascii="仿宋" w:hAnsi="仿宋" w:eastAsia="仿宋" w:cs="仿宋"/>
                <w:bCs/>
                <w:sz w:val="24"/>
                <w:szCs w:val="24"/>
                <w:highlight w:val="none"/>
              </w:rPr>
              <w:t>业绩材料应包含：合同和政府采购网上的招标公告（或政府采购网上的中标公告）作为证明材料，以上材料加盖投标人公章，提供不全或未提供的不予计分，有业主评价的需附上业主评价。</w:t>
            </w:r>
          </w:p>
        </w:tc>
        <w:tc>
          <w:tcPr>
            <w:tcW w:w="927" w:type="dxa"/>
            <w:tcMar>
              <w:left w:w="108" w:type="dxa"/>
              <w:right w:w="108" w:type="dxa"/>
            </w:tcMar>
            <w:vAlign w:val="center"/>
          </w:tcPr>
          <w:p w14:paraId="5B6D4445">
            <w:pPr>
              <w:autoSpaceDE w:val="0"/>
              <w:autoSpaceDN w:val="0"/>
              <w:adjustRightInd w:val="0"/>
              <w:snapToGrid w:val="0"/>
              <w:jc w:val="center"/>
              <w:rPr>
                <w:rFonts w:ascii="仿宋" w:hAnsi="宋体" w:eastAsia="仿宋" w:cs="宋体"/>
                <w:color w:val="000000"/>
                <w:sz w:val="24"/>
                <w:szCs w:val="24"/>
              </w:rPr>
            </w:pPr>
            <w:r>
              <w:rPr>
                <w:rFonts w:hint="eastAsia" w:ascii="仿宋" w:hAnsi="宋体" w:eastAsia="仿宋" w:cs="宋体"/>
                <w:color w:val="000000"/>
                <w:sz w:val="24"/>
                <w:szCs w:val="24"/>
              </w:rPr>
              <w:t>20分</w:t>
            </w:r>
          </w:p>
        </w:tc>
      </w:tr>
    </w:tbl>
    <w:p w14:paraId="2A484696">
      <w:pPr>
        <w:pStyle w:val="2"/>
        <w:ind w:firstLine="0" w:firstLineChars="0"/>
      </w:pPr>
    </w:p>
    <w:sectPr>
      <w:footerReference r:id="rId3" w:type="default"/>
      <w:footerReference r:id="rId4" w:type="even"/>
      <w:pgSz w:w="11906" w:h="16838"/>
      <w:pgMar w:top="2098" w:right="1474" w:bottom="1984" w:left="158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5B75E9-7CCB-460A-B634-67D40183524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D90873B-9162-416C-81DA-1D258A6BFF91}"/>
  </w:font>
  <w:font w:name="仿宋_GB2312">
    <w:panose1 w:val="02010609030101010101"/>
    <w:charset w:val="86"/>
    <w:family w:val="modern"/>
    <w:pitch w:val="default"/>
    <w:sig w:usb0="00000001" w:usb1="080E0000" w:usb2="00000000" w:usb3="00000000" w:csb0="00040000" w:csb1="00000000"/>
  </w:font>
  <w:font w:name="文道楷体">
    <w:altName w:val="宋体"/>
    <w:panose1 w:val="02010600040101010101"/>
    <w:charset w:val="86"/>
    <w:family w:val="auto"/>
    <w:pitch w:val="default"/>
    <w:sig w:usb0="00000000" w:usb1="00000000" w:usb2="00000012" w:usb3="00000000" w:csb0="00140001" w:csb1="00000000"/>
  </w:font>
  <w:font w:name="楷体_GB2312">
    <w:altName w:val="楷体"/>
    <w:panose1 w:val="00000000000000000000"/>
    <w:charset w:val="00"/>
    <w:family w:val="auto"/>
    <w:pitch w:val="default"/>
    <w:sig w:usb0="00000000" w:usb1="00000000" w:usb2="00000000" w:usb3="00000000" w:csb0="00000000" w:csb1="0000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8C5805C0-A8A9-404A-B454-523C5B44F7FA}"/>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485F3">
    <w:pPr>
      <w:pStyle w:val="1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60D9">
                          <w:pPr>
                            <w:pStyle w:val="1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alSs7WAAAABgEAAA8AAAAAAAAAAQAgAAAAIgAAAGRycy9kb3ducmV2LnhtbFBL&#10;AQIUABQAAAAIAIdO4kB5N8eTMQIAAF8EAAAOAAAAAAAAAAEAIAAAACUBAABkcnMvZTJvRG9jLnht&#10;bFBLBQYAAAAABgAGAFkBAADIBQAAAAA=&#10;">
              <v:fill on="f" focussize="0,0"/>
              <v:stroke on="f" weight="0.5pt"/>
              <v:imagedata o:title=""/>
              <o:lock v:ext="edit" aspectratio="f"/>
              <v:textbox inset="16pt,0mm,16pt,0mm" style="mso-fit-shape-to-text:t;">
                <w:txbxContent>
                  <w:p w14:paraId="526560D9">
                    <w:pPr>
                      <w:pStyle w:val="1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13</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E73B3">
    <w:pPr>
      <w:pStyle w:val="1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2CF0C">
                          <w:pPr>
                            <w:pStyle w:val="1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GpUrO1gAAAAYBAAAPAAAAAAAAAAEAIAAAACIAAABkcnMvZG93bnJldi54bWxQ&#10;SwECFAAUAAAACACHTuJAMghvJDICAABfBAAADgAAAAAAAAABACAAAAAlAQAAZHJzL2Uyb0RvYy54&#10;bWxQSwUGAAAAAAYABgBZAQAAyQUAAAAA&#10;">
              <v:fill on="f" focussize="0,0"/>
              <v:stroke on="f" weight="0.5pt"/>
              <v:imagedata o:title=""/>
              <o:lock v:ext="edit" aspectratio="f"/>
              <v:textbox inset="16pt,0mm,16pt,0mm" style="mso-fit-shape-to-text:t;">
                <w:txbxContent>
                  <w:p w14:paraId="1E32CF0C">
                    <w:pPr>
                      <w:pStyle w:val="14"/>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14</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4B951"/>
    <w:multiLevelType w:val="singleLevel"/>
    <w:tmpl w:val="52A4B951"/>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embedTrueTypeFonts/>
  <w:saveSubsetFonts/>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97670"/>
    <w:rsid w:val="000B7C01"/>
    <w:rsid w:val="001D5486"/>
    <w:rsid w:val="00262E65"/>
    <w:rsid w:val="002A7072"/>
    <w:rsid w:val="002C1945"/>
    <w:rsid w:val="002F51F9"/>
    <w:rsid w:val="00413D83"/>
    <w:rsid w:val="004D51C2"/>
    <w:rsid w:val="005027D6"/>
    <w:rsid w:val="00522F43"/>
    <w:rsid w:val="00537359"/>
    <w:rsid w:val="0056068D"/>
    <w:rsid w:val="005B525F"/>
    <w:rsid w:val="005F3928"/>
    <w:rsid w:val="00627F71"/>
    <w:rsid w:val="00644164"/>
    <w:rsid w:val="00707E4F"/>
    <w:rsid w:val="0075423A"/>
    <w:rsid w:val="007B4F20"/>
    <w:rsid w:val="008578D7"/>
    <w:rsid w:val="00863E20"/>
    <w:rsid w:val="008B4D3E"/>
    <w:rsid w:val="008E0332"/>
    <w:rsid w:val="0092731B"/>
    <w:rsid w:val="00AC0400"/>
    <w:rsid w:val="00B27B40"/>
    <w:rsid w:val="00B57218"/>
    <w:rsid w:val="00B60F92"/>
    <w:rsid w:val="00B65927"/>
    <w:rsid w:val="00C446E9"/>
    <w:rsid w:val="00C65542"/>
    <w:rsid w:val="00C77822"/>
    <w:rsid w:val="00C91060"/>
    <w:rsid w:val="00C94191"/>
    <w:rsid w:val="00CA3C97"/>
    <w:rsid w:val="00CC3F0B"/>
    <w:rsid w:val="00CE7D82"/>
    <w:rsid w:val="00D14F47"/>
    <w:rsid w:val="00D758F3"/>
    <w:rsid w:val="00DD6C4D"/>
    <w:rsid w:val="00EC48A6"/>
    <w:rsid w:val="00F419FA"/>
    <w:rsid w:val="00F515AE"/>
    <w:rsid w:val="00F77C57"/>
    <w:rsid w:val="00F842ED"/>
    <w:rsid w:val="00FC6CA9"/>
    <w:rsid w:val="00FE0D89"/>
    <w:rsid w:val="00FF2EA5"/>
    <w:rsid w:val="01AE224B"/>
    <w:rsid w:val="01CA4499"/>
    <w:rsid w:val="02A227A1"/>
    <w:rsid w:val="045F6B9B"/>
    <w:rsid w:val="057E74F5"/>
    <w:rsid w:val="05C56ED2"/>
    <w:rsid w:val="06B331CE"/>
    <w:rsid w:val="07351E35"/>
    <w:rsid w:val="07AF419F"/>
    <w:rsid w:val="08976DA7"/>
    <w:rsid w:val="08AA583B"/>
    <w:rsid w:val="08C6368D"/>
    <w:rsid w:val="09510A7C"/>
    <w:rsid w:val="09CD2661"/>
    <w:rsid w:val="0A2548E3"/>
    <w:rsid w:val="0B700DC4"/>
    <w:rsid w:val="0D444B80"/>
    <w:rsid w:val="0FCC4B99"/>
    <w:rsid w:val="1027034B"/>
    <w:rsid w:val="119A7465"/>
    <w:rsid w:val="11CD33CE"/>
    <w:rsid w:val="120170A3"/>
    <w:rsid w:val="1442032B"/>
    <w:rsid w:val="14537DDB"/>
    <w:rsid w:val="14726477"/>
    <w:rsid w:val="14980F53"/>
    <w:rsid w:val="14D40EDF"/>
    <w:rsid w:val="16492AEB"/>
    <w:rsid w:val="16BA69EF"/>
    <w:rsid w:val="1759391E"/>
    <w:rsid w:val="18585067"/>
    <w:rsid w:val="18603219"/>
    <w:rsid w:val="18D3325C"/>
    <w:rsid w:val="19512410"/>
    <w:rsid w:val="1A0A0EFF"/>
    <w:rsid w:val="1A9E30A8"/>
    <w:rsid w:val="1B7A20B5"/>
    <w:rsid w:val="1E3768E3"/>
    <w:rsid w:val="1EB8768D"/>
    <w:rsid w:val="1EBE1457"/>
    <w:rsid w:val="1F037124"/>
    <w:rsid w:val="1F212F73"/>
    <w:rsid w:val="1F48184A"/>
    <w:rsid w:val="1F91749D"/>
    <w:rsid w:val="208E55ED"/>
    <w:rsid w:val="210F0963"/>
    <w:rsid w:val="215E2BCE"/>
    <w:rsid w:val="23822C71"/>
    <w:rsid w:val="2396026F"/>
    <w:rsid w:val="23B43C3F"/>
    <w:rsid w:val="26A06E73"/>
    <w:rsid w:val="28926C61"/>
    <w:rsid w:val="29A97A33"/>
    <w:rsid w:val="2AA42CAA"/>
    <w:rsid w:val="2D4517DA"/>
    <w:rsid w:val="2D4D587B"/>
    <w:rsid w:val="2E2F1FA3"/>
    <w:rsid w:val="2E444588"/>
    <w:rsid w:val="2F210964"/>
    <w:rsid w:val="2F2370BE"/>
    <w:rsid w:val="306A22A0"/>
    <w:rsid w:val="32064605"/>
    <w:rsid w:val="3233600F"/>
    <w:rsid w:val="325A7B04"/>
    <w:rsid w:val="326D46F1"/>
    <w:rsid w:val="327F2033"/>
    <w:rsid w:val="33843679"/>
    <w:rsid w:val="34825E0A"/>
    <w:rsid w:val="35BF8AA0"/>
    <w:rsid w:val="36CA074A"/>
    <w:rsid w:val="38CD3679"/>
    <w:rsid w:val="392E47B3"/>
    <w:rsid w:val="3A161272"/>
    <w:rsid w:val="3A26548A"/>
    <w:rsid w:val="3ADD023E"/>
    <w:rsid w:val="3DB039E8"/>
    <w:rsid w:val="3ECF7511"/>
    <w:rsid w:val="3EE60F13"/>
    <w:rsid w:val="3EFC7901"/>
    <w:rsid w:val="40303471"/>
    <w:rsid w:val="41E2613A"/>
    <w:rsid w:val="42220C2D"/>
    <w:rsid w:val="43072112"/>
    <w:rsid w:val="445F1CC4"/>
    <w:rsid w:val="454D4212"/>
    <w:rsid w:val="45AD767B"/>
    <w:rsid w:val="4607621A"/>
    <w:rsid w:val="470B1C8F"/>
    <w:rsid w:val="48970623"/>
    <w:rsid w:val="48C62CF6"/>
    <w:rsid w:val="48F9568E"/>
    <w:rsid w:val="4A0B2910"/>
    <w:rsid w:val="4A5A5048"/>
    <w:rsid w:val="4B2C5EC1"/>
    <w:rsid w:val="4CB726ED"/>
    <w:rsid w:val="4F027D72"/>
    <w:rsid w:val="50377F99"/>
    <w:rsid w:val="504D3DB0"/>
    <w:rsid w:val="510E552C"/>
    <w:rsid w:val="52157E66"/>
    <w:rsid w:val="52904F88"/>
    <w:rsid w:val="52C64EBF"/>
    <w:rsid w:val="55690BF5"/>
    <w:rsid w:val="55CF5268"/>
    <w:rsid w:val="57843C95"/>
    <w:rsid w:val="57DB688D"/>
    <w:rsid w:val="588B70D4"/>
    <w:rsid w:val="598002BB"/>
    <w:rsid w:val="59943D66"/>
    <w:rsid w:val="5B6A7475"/>
    <w:rsid w:val="5B9205D4"/>
    <w:rsid w:val="5BAF4E87"/>
    <w:rsid w:val="5C4952DC"/>
    <w:rsid w:val="5D063D09"/>
    <w:rsid w:val="5D10273F"/>
    <w:rsid w:val="5D6A1A9A"/>
    <w:rsid w:val="60083DB4"/>
    <w:rsid w:val="61074940"/>
    <w:rsid w:val="61137C66"/>
    <w:rsid w:val="61BC401E"/>
    <w:rsid w:val="642055FC"/>
    <w:rsid w:val="6573005E"/>
    <w:rsid w:val="65797670"/>
    <w:rsid w:val="66B772E6"/>
    <w:rsid w:val="670D5158"/>
    <w:rsid w:val="678E6299"/>
    <w:rsid w:val="67A1421E"/>
    <w:rsid w:val="69E84DCE"/>
    <w:rsid w:val="6B863846"/>
    <w:rsid w:val="6BA936A1"/>
    <w:rsid w:val="6C735A5D"/>
    <w:rsid w:val="6C925B1C"/>
    <w:rsid w:val="6EB82E9A"/>
    <w:rsid w:val="6FE7DECE"/>
    <w:rsid w:val="6FF76787"/>
    <w:rsid w:val="70734BCC"/>
    <w:rsid w:val="718F158B"/>
    <w:rsid w:val="71D559BF"/>
    <w:rsid w:val="73CD2428"/>
    <w:rsid w:val="73FE9FA4"/>
    <w:rsid w:val="75866801"/>
    <w:rsid w:val="769C2D97"/>
    <w:rsid w:val="771E9E80"/>
    <w:rsid w:val="77A64F39"/>
    <w:rsid w:val="78947487"/>
    <w:rsid w:val="79A7247D"/>
    <w:rsid w:val="7A5213A8"/>
    <w:rsid w:val="7AE2272C"/>
    <w:rsid w:val="7B3960C4"/>
    <w:rsid w:val="7C0B3F04"/>
    <w:rsid w:val="7D632B10"/>
    <w:rsid w:val="7DC61484"/>
    <w:rsid w:val="7DCD60DC"/>
    <w:rsid w:val="7DF2216A"/>
    <w:rsid w:val="7EAF7F7E"/>
    <w:rsid w:val="7F8C2C66"/>
    <w:rsid w:val="B4C2D801"/>
    <w:rsid w:val="BF5C9422"/>
    <w:rsid w:val="DFBBD740"/>
    <w:rsid w:val="DFDFBB34"/>
    <w:rsid w:val="DFFFC981"/>
    <w:rsid w:val="E5F6D6E1"/>
    <w:rsid w:val="E95F20E7"/>
    <w:rsid w:val="ED660B42"/>
    <w:rsid w:val="F3AD5924"/>
    <w:rsid w:val="F7FB55D3"/>
    <w:rsid w:val="F98B686E"/>
    <w:rsid w:val="FBDB0B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spacing w:val="-6"/>
      <w:kern w:val="2"/>
      <w:sz w:val="32"/>
      <w:szCs w:val="32"/>
      <w:lang w:val="en-US" w:eastAsia="zh-CN" w:bidi="ar-SA"/>
    </w:rPr>
  </w:style>
  <w:style w:type="paragraph" w:styleId="3">
    <w:name w:val="heading 1"/>
    <w:next w:val="1"/>
    <w:link w:val="27"/>
    <w:qFormat/>
    <w:uiPriority w:val="0"/>
    <w:pPr>
      <w:keepNext/>
      <w:keepLines/>
      <w:spacing w:line="560" w:lineRule="exact"/>
      <w:ind w:firstLine="894" w:firstLineChars="200"/>
      <w:outlineLvl w:val="0"/>
    </w:pPr>
    <w:rPr>
      <w:rFonts w:ascii="黑体" w:hAnsi="黑体" w:eastAsia="黑体" w:cs="黑体"/>
      <w:kern w:val="44"/>
      <w:sz w:val="32"/>
      <w:szCs w:val="32"/>
      <w:lang w:val="en-US" w:eastAsia="zh-CN" w:bidi="ar-SA"/>
    </w:rPr>
  </w:style>
  <w:style w:type="paragraph" w:styleId="4">
    <w:name w:val="heading 2"/>
    <w:next w:val="1"/>
    <w:link w:val="25"/>
    <w:unhideWhenUsed/>
    <w:qFormat/>
    <w:uiPriority w:val="0"/>
    <w:pPr>
      <w:keepNext/>
      <w:keepLines/>
      <w:spacing w:line="560" w:lineRule="exact"/>
      <w:ind w:firstLine="894" w:firstLineChars="200"/>
      <w:outlineLvl w:val="1"/>
    </w:pPr>
    <w:rPr>
      <w:rFonts w:ascii="Times New Roman" w:hAnsi="Times New Roman" w:eastAsia="文道楷体" w:cs="文道楷体"/>
      <w:sz w:val="32"/>
      <w:szCs w:val="32"/>
      <w:lang w:val="en-US" w:eastAsia="zh-CN" w:bidi="ar-SA"/>
    </w:rPr>
  </w:style>
  <w:style w:type="paragraph" w:styleId="5">
    <w:name w:val="heading 3"/>
    <w:next w:val="1"/>
    <w:semiHidden/>
    <w:unhideWhenUsed/>
    <w:qFormat/>
    <w:uiPriority w:val="0"/>
    <w:pPr>
      <w:keepNext/>
      <w:keepLines/>
      <w:spacing w:line="560" w:lineRule="exact"/>
      <w:ind w:firstLine="894" w:firstLineChars="200"/>
      <w:outlineLvl w:val="2"/>
    </w:pPr>
    <w:rPr>
      <w:rFonts w:ascii="Times New Roman" w:hAnsi="Times New Roman" w:eastAsia="仿宋_GB2312" w:cs="仿宋_GB2312"/>
      <w:sz w:val="32"/>
      <w:szCs w:val="32"/>
      <w:lang w:val="en-US" w:eastAsia="zh-CN" w:bidi="ar-SA"/>
    </w:rPr>
  </w:style>
  <w:style w:type="paragraph" w:styleId="6">
    <w:name w:val="heading 4"/>
    <w:next w:val="1"/>
    <w:semiHidden/>
    <w:unhideWhenUsed/>
    <w:qFormat/>
    <w:uiPriority w:val="0"/>
    <w:pPr>
      <w:keepNext/>
      <w:keepLines/>
      <w:spacing w:line="560" w:lineRule="exact"/>
      <w:ind w:firstLine="894" w:firstLineChars="200"/>
      <w:outlineLvl w:val="3"/>
    </w:pPr>
    <w:rPr>
      <w:rFonts w:ascii="Times New Roman" w:hAnsi="Times New Roman" w:eastAsia="仿宋_GB2312" w:cs="仿宋_GB2312"/>
      <w:sz w:val="32"/>
      <w:szCs w:val="32"/>
      <w:lang w:val="en-US" w:eastAsia="zh-CN" w:bidi="ar-SA"/>
    </w:rPr>
  </w:style>
  <w:style w:type="paragraph" w:styleId="7">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lang w:val="en-US" w:eastAsia="zh-CN" w:bidi="ar-SA"/>
    </w:rPr>
  </w:style>
  <w:style w:type="paragraph" w:styleId="8">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lang w:val="en-US" w:eastAsia="zh-CN" w:bidi="ar-SA"/>
    </w:rPr>
  </w:style>
  <w:style w:type="paragraph" w:styleId="9">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lang w:val="en-US" w:eastAsia="zh-CN" w:bidi="ar-SA"/>
    </w:rPr>
  </w:style>
  <w:style w:type="paragraph" w:styleId="10">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lang w:val="en-US" w:eastAsia="zh-CN" w:bidi="ar-SA"/>
    </w:rPr>
  </w:style>
  <w:style w:type="paragraph" w:styleId="11">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lang w:val="en-US" w:eastAsia="zh-CN" w:bidi="ar-SA"/>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line="560" w:lineRule="exact"/>
      <w:ind w:firstLine="630" w:firstLineChars="200"/>
    </w:pPr>
    <w:rPr>
      <w:rFonts w:ascii="Times New Roman" w:hAnsi="Times New Roman" w:cs="仿宋_GB2312"/>
    </w:rPr>
  </w:style>
  <w:style w:type="paragraph" w:styleId="12">
    <w:name w:val="annotation text"/>
    <w:basedOn w:val="1"/>
    <w:qFormat/>
    <w:uiPriority w:val="0"/>
    <w:pPr>
      <w:jc w:val="left"/>
    </w:pPr>
  </w:style>
  <w:style w:type="paragraph" w:styleId="13">
    <w:name w:val="Plain Text"/>
    <w:basedOn w:val="1"/>
    <w:qFormat/>
    <w:uiPriority w:val="0"/>
    <w:rPr>
      <w:rFonts w:ascii="宋体" w:hAnsi="Courier New"/>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Subtitle"/>
    <w:qFormat/>
    <w:uiPriority w:val="0"/>
    <w:pPr>
      <w:spacing w:line="720" w:lineRule="exact"/>
      <w:jc w:val="center"/>
    </w:pPr>
    <w:rPr>
      <w:rFonts w:ascii="Times New Roman" w:hAnsi="Times New Roman" w:eastAsia="仿宋_GB2312" w:cs="仿宋_GB2312"/>
      <w:kern w:val="28"/>
      <w:sz w:val="32"/>
      <w:szCs w:val="32"/>
      <w:lang w:val="en-US" w:eastAsia="zh-CN" w:bidi="ar-SA"/>
    </w:rPr>
  </w:style>
  <w:style w:type="paragraph" w:styleId="17">
    <w:name w:val="Body Text 2"/>
    <w:basedOn w:val="1"/>
    <w:qFormat/>
    <w:uiPriority w:val="0"/>
    <w:pPr>
      <w:spacing w:line="600" w:lineRule="exact"/>
      <w:jc w:val="center"/>
    </w:pPr>
    <w:rPr>
      <w:rFonts w:ascii="方正大标宋简体" w:eastAsia="方正大标宋简体"/>
      <w:bCs/>
      <w:sz w:val="44"/>
    </w:rPr>
  </w:style>
  <w:style w:type="paragraph" w:styleId="18">
    <w:name w:val="Normal (Web)"/>
    <w:basedOn w:val="1"/>
    <w:qFormat/>
    <w:uiPriority w:val="0"/>
    <w:pPr>
      <w:spacing w:beforeAutospacing="1" w:afterAutospacing="1"/>
      <w:jc w:val="left"/>
    </w:pPr>
    <w:rPr>
      <w:kern w:val="0"/>
      <w:sz w:val="24"/>
    </w:rPr>
  </w:style>
  <w:style w:type="paragraph" w:styleId="19">
    <w:name w:val="Title"/>
    <w:qFormat/>
    <w:uiPriority w:val="0"/>
    <w:pPr>
      <w:spacing w:line="720" w:lineRule="exact"/>
      <w:jc w:val="center"/>
    </w:pPr>
    <w:rPr>
      <w:rFonts w:ascii="方正小标宋简体" w:hAnsi="方正小标宋简体" w:eastAsia="方正小标宋简体" w:cs="方正小标宋简体"/>
      <w:sz w:val="44"/>
      <w:szCs w:val="44"/>
      <w:lang w:val="en-US" w:eastAsia="zh-CN" w:bidi="ar-SA"/>
    </w:rPr>
  </w:style>
  <w:style w:type="character" w:styleId="22">
    <w:name w:val="Strong"/>
    <w:basedOn w:val="21"/>
    <w:qFormat/>
    <w:uiPriority w:val="0"/>
    <w:rPr>
      <w:b/>
    </w:rPr>
  </w:style>
  <w:style w:type="character" w:styleId="23">
    <w:name w:val="Hyperlink"/>
    <w:basedOn w:val="21"/>
    <w:qFormat/>
    <w:uiPriority w:val="0"/>
    <w:rPr>
      <w:color w:val="0000FF"/>
      <w:u w:val="single"/>
    </w:rPr>
  </w:style>
  <w:style w:type="paragraph" w:customStyle="1" w:styleId="24">
    <w:name w:val="主送对象"/>
    <w:next w:val="1"/>
    <w:qFormat/>
    <w:uiPriority w:val="0"/>
    <w:pPr>
      <w:spacing w:line="560" w:lineRule="exact"/>
    </w:pPr>
    <w:rPr>
      <w:rFonts w:ascii="Times New Roman" w:hAnsi="Times New Roman" w:eastAsia="仿宋_GB2312" w:cs="仿宋_GB2312"/>
      <w:sz w:val="32"/>
      <w:szCs w:val="32"/>
      <w:lang w:val="en-US" w:eastAsia="zh-CN" w:bidi="ar-SA"/>
    </w:rPr>
  </w:style>
  <w:style w:type="character" w:customStyle="1" w:styleId="25">
    <w:name w:val="标题 2 字符"/>
    <w:link w:val="4"/>
    <w:qFormat/>
    <w:uiPriority w:val="0"/>
    <w:rPr>
      <w:rFonts w:ascii="文道楷体" w:hAnsi="文道楷体" w:eastAsia="文道楷体" w:cs="Times New Roman"/>
      <w:sz w:val="32"/>
      <w:szCs w:val="32"/>
    </w:rPr>
  </w:style>
  <w:style w:type="paragraph" w:customStyle="1" w:styleId="26">
    <w:name w:val="文书"/>
    <w:basedOn w:val="1"/>
    <w:qFormat/>
    <w:uiPriority w:val="0"/>
    <w:pPr>
      <w:ind w:firstLine="560" w:firstLineChars="200"/>
    </w:pPr>
    <w:rPr>
      <w:sz w:val="28"/>
    </w:rPr>
  </w:style>
  <w:style w:type="character" w:customStyle="1" w:styleId="27">
    <w:name w:val="标题 1 字符"/>
    <w:link w:val="3"/>
    <w:qFormat/>
    <w:uiPriority w:val="0"/>
    <w:rPr>
      <w:rFonts w:ascii="黑体" w:hAnsi="黑体" w:eastAsia="黑体" w:cs="Times New Roman"/>
      <w:kern w:val="44"/>
      <w:sz w:val="32"/>
      <w:szCs w:val="32"/>
    </w:rPr>
  </w:style>
  <w:style w:type="paragraph" w:customStyle="1" w:styleId="28">
    <w:name w:val="附录标题"/>
    <w:next w:val="1"/>
    <w:qFormat/>
    <w:uiPriority w:val="0"/>
    <w:pPr>
      <w:overflowPunct w:val="0"/>
      <w:topLinePunct/>
      <w:spacing w:line="560" w:lineRule="exact"/>
      <w:outlineLvl w:val="0"/>
    </w:pPr>
    <w:rPr>
      <w:rFonts w:ascii="黑体" w:hAnsi="黑体" w:eastAsia="黑体" w:cs="黑体"/>
      <w:sz w:val="32"/>
      <w:szCs w:val="32"/>
      <w:lang w:val="en-US" w:eastAsia="zh-CN" w:bidi="ar-SA"/>
    </w:rPr>
  </w:style>
  <w:style w:type="paragraph" w:customStyle="1" w:styleId="29">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1284</Words>
  <Characters>1339</Characters>
  <Lines>10</Lines>
  <Paragraphs>2</Paragraphs>
  <TotalTime>0</TotalTime>
  <ScaleCrop>false</ScaleCrop>
  <LinksUpToDate>false</LinksUpToDate>
  <CharactersWithSpaces>1339</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2026-03-15T01:35:00Z</dcterms:created>
  <dc:creator>YangSF</dc:creator>
  <cp:lastModifiedBy>Lenovo</cp:lastModifiedBy>
  <cp:lastPrinted>2026-03-21T18:32:00Z</cp:lastPrinted>
  <dcterms:modified xsi:type="dcterms:W3CDTF">2026-04-21T08:29:39Z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9B621AD6E60149CDBE96E9EFF7559662_13</vt:lpwstr>
  </property>
  <property fmtid="{D5CDD505-2E9C-101B-9397-08002B2CF9AE}" pid="4" name="KSOTemplateDocerSaveRecord">
    <vt:lpwstr>eyJoZGlkIjoiMmQyNWUxOGU4YTJiNmE1ZWZmYTlkNjg0ZjEzNTMxOWUifQ==</vt:lpwstr>
  </property>
</Properties>
</file>