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村庄规划优秀案例评选方案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一、案例申报要求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符合“多规合一”</w:t>
      </w:r>
      <w:r>
        <w:rPr>
          <w:rFonts w:hint="eastAsia" w:ascii="Times New Roman" w:hAnsi="Times New Roman" w:eastAsia="仿宋_GB2312" w:cs="Times New Roman"/>
          <w:color w:val="auto"/>
          <w:sz w:val="32"/>
          <w:szCs w:val="32"/>
          <w:lang w:val="en-US" w:eastAsia="zh-CN"/>
        </w:rPr>
        <w:t>改革</w:t>
      </w:r>
      <w:r>
        <w:rPr>
          <w:rFonts w:hint="default" w:ascii="Times New Roman" w:hAnsi="Times New Roman" w:eastAsia="仿宋_GB2312" w:cs="Times New Roman"/>
          <w:color w:val="auto"/>
          <w:sz w:val="32"/>
          <w:szCs w:val="32"/>
          <w:lang w:val="en-US" w:eastAsia="zh-CN"/>
        </w:rPr>
        <w:t>要求的实用性村庄规划</w:t>
      </w:r>
      <w:r>
        <w:rPr>
          <w:rFonts w:hint="eastAsia" w:ascii="Times New Roman" w:hAnsi="Times New Roman" w:eastAsia="仿宋_GB2312" w:cs="Times New Roman"/>
          <w:color w:val="auto"/>
          <w:sz w:val="32"/>
          <w:szCs w:val="32"/>
          <w:lang w:val="en-US" w:eastAsia="zh-CN"/>
        </w:rPr>
        <w:t>并获得批复实施。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（二）村民参与度高，</w:t>
      </w:r>
      <w:r>
        <w:rPr>
          <w:rStyle w:val="10"/>
          <w:rFonts w:ascii="仿宋_GB2312" w:hAnsi="仿宋_GB2312" w:eastAsia="仿宋_GB2312"/>
          <w:b w:val="0"/>
          <w:i w:val="0"/>
          <w:caps w:val="0"/>
          <w:color w:val="auto"/>
          <w:spacing w:val="0"/>
          <w:w w:val="100"/>
          <w:kern w:val="2"/>
          <w:sz w:val="32"/>
          <w:szCs w:val="32"/>
          <w:lang w:val="en-US" w:eastAsia="zh-CN" w:bidi="ar-SA"/>
        </w:rPr>
        <w:t>突出村民的主体地位，</w:t>
      </w:r>
      <w:r>
        <w:rPr>
          <w:rStyle w:val="10"/>
          <w:rFonts w:hint="eastAsia" w:ascii="仿宋_GB2312" w:hAnsi="仿宋_GB2312" w:eastAsia="仿宋_GB2312"/>
          <w:b w:val="0"/>
          <w:i w:val="0"/>
          <w:caps w:val="0"/>
          <w:color w:val="auto"/>
          <w:spacing w:val="0"/>
          <w:w w:val="100"/>
          <w:kern w:val="2"/>
          <w:sz w:val="32"/>
          <w:szCs w:val="32"/>
          <w:lang w:val="en-US" w:eastAsia="zh-CN" w:bidi="ar-SA"/>
        </w:rPr>
        <w:t>充</w:t>
      </w:r>
      <w:r>
        <w:rPr>
          <w:rStyle w:val="10"/>
          <w:rFonts w:ascii="Times New Roman" w:hAnsi="Times New Roman" w:eastAsia="仿宋_GB2312"/>
          <w:b w:val="0"/>
          <w:i w:val="0"/>
          <w:caps w:val="0"/>
          <w:color w:val="auto"/>
          <w:spacing w:val="0"/>
          <w:w w:val="100"/>
          <w:kern w:val="0"/>
          <w:sz w:val="32"/>
          <w:szCs w:val="32"/>
          <w:lang w:val="en-US" w:eastAsia="zh-CN" w:bidi="ar-SA"/>
        </w:rPr>
        <w:t>分吸纳村民合理诉求</w:t>
      </w:r>
      <w:r>
        <w:rPr>
          <w:rStyle w:val="10"/>
          <w:rFonts w:hint="eastAsia" w:ascii="Times New Roman" w:hAnsi="Times New Roman" w:eastAsia="仿宋_GB2312"/>
          <w:b w:val="0"/>
          <w:i w:val="0"/>
          <w:caps w:val="0"/>
          <w:color w:val="auto"/>
          <w:spacing w:val="0"/>
          <w:w w:val="100"/>
          <w:kern w:val="0"/>
          <w:sz w:val="32"/>
          <w:szCs w:val="32"/>
          <w:lang w:val="en-US" w:eastAsia="zh-CN" w:bidi="ar-SA"/>
        </w:rPr>
        <w:t>，</w:t>
      </w:r>
      <w:r>
        <w:rPr>
          <w:rStyle w:val="10"/>
          <w:rFonts w:ascii="Times New Roman" w:hAnsi="Times New Roman" w:eastAsia="仿宋_GB2312"/>
          <w:b w:val="0"/>
          <w:i w:val="0"/>
          <w:caps w:val="0"/>
          <w:color w:val="auto"/>
          <w:spacing w:val="0"/>
          <w:w w:val="100"/>
          <w:kern w:val="2"/>
          <w:sz w:val="32"/>
          <w:szCs w:val="32"/>
          <w:lang w:val="en-US" w:eastAsia="zh-CN" w:bidi="ar-SA"/>
        </w:rPr>
        <w:t>有力指导村庄</w:t>
      </w:r>
      <w:r>
        <w:rPr>
          <w:rStyle w:val="10"/>
          <w:rFonts w:hint="eastAsia" w:ascii="Times New Roman" w:hAnsi="Times New Roman" w:eastAsia="仿宋_GB2312"/>
          <w:b w:val="0"/>
          <w:i w:val="0"/>
          <w:caps w:val="0"/>
          <w:color w:val="auto"/>
          <w:spacing w:val="0"/>
          <w:w w:val="100"/>
          <w:kern w:val="2"/>
          <w:sz w:val="32"/>
          <w:szCs w:val="32"/>
          <w:lang w:val="en-US" w:eastAsia="zh-CN" w:bidi="ar-SA"/>
        </w:rPr>
        <w:t>建设</w:t>
      </w:r>
      <w:r>
        <w:rPr>
          <w:rStyle w:val="10"/>
          <w:rFonts w:ascii="Times New Roman" w:hAnsi="Times New Roman" w:eastAsia="仿宋_GB2312"/>
          <w:b w:val="0"/>
          <w:i w:val="0"/>
          <w:caps w:val="0"/>
          <w:color w:val="auto"/>
          <w:spacing w:val="0"/>
          <w:w w:val="100"/>
          <w:kern w:val="2"/>
          <w:sz w:val="32"/>
          <w:szCs w:val="32"/>
          <w:lang w:val="en-US" w:eastAsia="zh-CN" w:bidi="ar-SA"/>
        </w:rPr>
        <w:t>发展</w:t>
      </w:r>
      <w:r>
        <w:rPr>
          <w:rStyle w:val="10"/>
          <w:rFonts w:hint="eastAsia" w:ascii="Times New Roman" w:hAnsi="Times New Roman" w:eastAsia="仿宋_GB2312"/>
          <w:b w:val="0"/>
          <w:i w:val="0"/>
          <w:caps w:val="0"/>
          <w:color w:val="auto"/>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（三）规划管控要求落实到位，村庄用地节约集约，村庄风貌引导合理。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（四）申报成果应符合国家法律法规、相关政策及技术规范规定。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（五）根据村庄类型，申报项目分为</w:t>
      </w:r>
      <w:r>
        <w:rPr>
          <w:rFonts w:ascii="Times New Roman" w:hAnsi="Times New Roman" w:eastAsia="仿宋_GB2312"/>
          <w:color w:val="auto"/>
          <w:sz w:val="32"/>
          <w:szCs w:val="32"/>
        </w:rPr>
        <w:t>集聚发展类、整治提升类</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特色保护类</w:t>
      </w:r>
      <w:r>
        <w:rPr>
          <w:rFonts w:hint="eastAsia" w:ascii="Times New Roman" w:hAnsi="Times New Roman" w:eastAsia="仿宋_GB2312"/>
          <w:color w:val="auto"/>
          <w:sz w:val="32"/>
          <w:szCs w:val="32"/>
          <w:lang w:val="en-US" w:eastAsia="zh-CN"/>
        </w:rPr>
        <w:t>和城郊融合类等四类。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（六）申报案例实施效果较好，在推进乡村振兴，促进人与自然和谐共生方面形成可推广、可复制的经验。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（一）优秀案例推荐文稿（模板见编写要求）。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（二）优秀案例图集（含3—5张同一视角的规划实施前后对比照片和1—3张网络评选案例宣传海报，图片大小不超过5M）。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（三）项目正式成果（包括“一图一表一说明”村民版成果），纸质成果一份并刻录光盘。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申报案例展示视频：以真人真事为创作素材，制作短视频。视频时长不超过5分钟，分辨率为1920*1080，比例16:9，文件不大于1000MB，注重细节，用小切口反映大主题，视频需包含规划实施前后的乡村风貌实景。申报案例亮点展现可以由驻村规划师、驻村干部为主讲人，把镜头对准驻村规划师、编制单位、当地村民以及村庄，围绕乡村规划建设让乡村宜居宜业、推进乡村振兴，促进人与自然和谐共生为主题，重点突出规划前后乡村产业、乡村生活、乡村风貌等对比变化，侧重规划过程中的思路形成和创新亮点，突显村民参与、协同共建的作用。每个视频作品需附200字以内的简介及剧照一张（不超过5M）。如有配音或人物采访的，请提供文字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（五）申报案例规划成果批复文件。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（六）文字、表格材料的文件格式为PDF；图件、照片的文件格式为JPG。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三、申报文稿编写要求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default" w:ascii="Times New Roman" w:hAnsi="Times New Roman" w:eastAsia="仿宋_GB2312" w:cs="仿宋_GB2312"/>
          <w:color w:val="auto"/>
          <w:sz w:val="32"/>
          <w:szCs w:val="32"/>
          <w:lang w:val="en-US" w:eastAsia="zh-CN"/>
        </w:rPr>
        <w:t>标题</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default" w:ascii="Times New Roman" w:hAnsi="Times New Roman" w:eastAsia="仿宋_GB2312" w:cs="仿宋_GB2312"/>
          <w:color w:val="auto"/>
          <w:sz w:val="32"/>
          <w:szCs w:val="32"/>
          <w:lang w:val="en-US" w:eastAsia="zh-CN"/>
        </w:rPr>
        <w:t>所属地区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default" w:ascii="Times New Roman" w:hAnsi="Times New Roman" w:eastAsia="仿宋_GB2312" w:cs="仿宋_GB2312"/>
          <w:color w:val="auto"/>
          <w:sz w:val="32"/>
          <w:szCs w:val="32"/>
          <w:lang w:val="en-US" w:eastAsia="zh-CN"/>
        </w:rPr>
        <w:t>驻村规划师</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姓名+单位</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及推荐语</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50-100字</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default" w:ascii="Times New Roman" w:hAnsi="Times New Roman" w:eastAsia="仿宋_GB2312" w:cs="仿宋_GB2312"/>
          <w:color w:val="auto"/>
          <w:sz w:val="32"/>
          <w:szCs w:val="32"/>
          <w:lang w:val="en-US" w:eastAsia="zh-CN"/>
        </w:rPr>
        <w:t>规划目标</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50字</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w:t>
      </w:r>
      <w:r>
        <w:rPr>
          <w:rFonts w:hint="default" w:ascii="Times New Roman" w:hAnsi="Times New Roman" w:eastAsia="仿宋_GB2312" w:cs="仿宋_GB2312"/>
          <w:color w:val="auto"/>
          <w:sz w:val="32"/>
          <w:szCs w:val="32"/>
          <w:lang w:val="en-US" w:eastAsia="zh-CN"/>
        </w:rPr>
        <w:t>规划背景</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500字</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明确上位规划及村庄类型，反映现状特征，说明拟解决的矛盾和问题。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w:t>
      </w:r>
      <w:r>
        <w:rPr>
          <w:rFonts w:hint="default" w:ascii="Times New Roman" w:hAnsi="Times New Roman" w:eastAsia="仿宋_GB2312" w:cs="仿宋_GB2312"/>
          <w:color w:val="auto"/>
          <w:sz w:val="32"/>
          <w:szCs w:val="32"/>
          <w:lang w:val="en-US" w:eastAsia="zh-CN"/>
        </w:rPr>
        <w:t>规划思路和方法</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500字</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包括定位、总体思路、解决问题的规划方法或者有特色技术方法等，体现实用性，以及征求和尊重村民意愿的方法，</w:t>
      </w:r>
      <w:r>
        <w:rPr>
          <w:rFonts w:hint="eastAsia" w:ascii="Times New Roman" w:hAnsi="Times New Roman" w:eastAsia="仿宋_GB2312" w:cs="仿宋_GB2312"/>
          <w:color w:val="auto"/>
          <w:sz w:val="32"/>
          <w:szCs w:val="32"/>
          <w:lang w:val="en-US" w:eastAsia="zh-CN"/>
        </w:rPr>
        <w:t>乡村能人、带头人和村两委在规划实施中起的作用，</w:t>
      </w:r>
      <w:r>
        <w:rPr>
          <w:rFonts w:hint="default" w:ascii="Times New Roman" w:hAnsi="Times New Roman" w:eastAsia="仿宋_GB2312" w:cs="仿宋_GB2312"/>
          <w:color w:val="auto"/>
          <w:sz w:val="32"/>
          <w:szCs w:val="32"/>
          <w:lang w:val="en-US" w:eastAsia="zh-CN"/>
        </w:rPr>
        <w:t>可以配类似技术路线等框图。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w:t>
      </w:r>
      <w:r>
        <w:rPr>
          <w:rFonts w:hint="default" w:ascii="Times New Roman" w:hAnsi="Times New Roman" w:eastAsia="仿宋_GB2312" w:cs="仿宋_GB2312"/>
          <w:color w:val="auto"/>
          <w:sz w:val="32"/>
          <w:szCs w:val="32"/>
          <w:lang w:val="en-US" w:eastAsia="zh-CN"/>
        </w:rPr>
        <w:t>主要规划内容及成效</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500字</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明确问题的解决方案，突出规划的关键环节和特色，归纳相关规划推动村庄发展、提升村民幸福感和</w:t>
      </w:r>
      <w:r>
        <w:rPr>
          <w:rFonts w:hint="eastAsia" w:ascii="Times New Roman" w:hAnsi="Times New Roman" w:eastAsia="仿宋_GB2312" w:cs="仿宋_GB2312"/>
          <w:color w:val="auto"/>
          <w:sz w:val="32"/>
          <w:szCs w:val="32"/>
          <w:lang w:val="en-US" w:eastAsia="zh-CN"/>
        </w:rPr>
        <w:t>助力乡村振兴</w:t>
      </w:r>
      <w:r>
        <w:rPr>
          <w:rFonts w:hint="default" w:ascii="Times New Roman" w:hAnsi="Times New Roman" w:eastAsia="仿宋_GB2312" w:cs="仿宋_GB2312"/>
          <w:color w:val="auto"/>
          <w:sz w:val="32"/>
          <w:szCs w:val="32"/>
          <w:lang w:val="en-US" w:eastAsia="zh-CN"/>
        </w:rPr>
        <w:t>等方面的成效。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w:t>
      </w:r>
      <w:r>
        <w:rPr>
          <w:rFonts w:hint="default" w:ascii="Times New Roman" w:hAnsi="Times New Roman" w:eastAsia="仿宋_GB2312" w:cs="仿宋_GB2312"/>
          <w:color w:val="auto"/>
          <w:sz w:val="32"/>
          <w:szCs w:val="32"/>
          <w:lang w:val="en-US" w:eastAsia="zh-CN"/>
        </w:rPr>
        <w:t>规划亮点</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300字</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规划组织、编制技术和规划成果等方面的特色亮点及创新点</w:t>
      </w:r>
      <w:r>
        <w:rPr>
          <w:rFonts w:hint="eastAsia" w:ascii="Times New Roman" w:hAnsi="Times New Roman" w:eastAsia="仿宋_GB2312" w:cs="仿宋_GB2312"/>
          <w:color w:val="auto"/>
          <w:sz w:val="32"/>
          <w:szCs w:val="32"/>
          <w:lang w:val="en-US" w:eastAsia="zh-CN"/>
        </w:rPr>
        <w:t>，体现</w:t>
      </w:r>
      <w:r>
        <w:rPr>
          <w:rFonts w:hint="default" w:ascii="Times New Roman" w:hAnsi="Times New Roman" w:eastAsia="仿宋_GB2312" w:cs="仿宋_GB2312"/>
          <w:color w:val="auto"/>
          <w:sz w:val="32"/>
          <w:szCs w:val="32"/>
          <w:lang w:val="en-US" w:eastAsia="zh-CN"/>
        </w:rPr>
        <w:t>规划前后变化</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9.</w:t>
      </w:r>
      <w:r>
        <w:rPr>
          <w:rFonts w:hint="default" w:ascii="Times New Roman" w:hAnsi="Times New Roman" w:eastAsia="仿宋_GB2312" w:cs="仿宋_GB2312"/>
          <w:color w:val="auto"/>
          <w:sz w:val="32"/>
          <w:szCs w:val="32"/>
          <w:lang w:val="en-US" w:eastAsia="zh-CN"/>
        </w:rPr>
        <w:t>规划项目相关团队参与情况</w:t>
      </w:r>
      <w:r>
        <w:rPr>
          <w:rFonts w:hint="eastAsia" w:ascii="Times New Roman" w:hAnsi="Times New Roman" w:eastAsia="仿宋_GB2312" w:cs="仿宋_GB2312"/>
          <w:color w:val="auto"/>
          <w:sz w:val="32"/>
          <w:szCs w:val="32"/>
          <w:lang w:val="en-US" w:eastAsia="zh-CN"/>
        </w:rPr>
        <w:t>（不超过</w:t>
      </w:r>
      <w:r>
        <w:rPr>
          <w:rFonts w:hint="default" w:ascii="Times New Roman" w:hAnsi="Times New Roman" w:eastAsia="仿宋_GB2312" w:cs="仿宋_GB2312"/>
          <w:color w:val="auto"/>
          <w:sz w:val="32"/>
          <w:szCs w:val="32"/>
          <w:lang w:val="en-US" w:eastAsia="zh-CN"/>
        </w:rPr>
        <w:t>300字</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突出明确编制单位和驻</w:t>
      </w:r>
      <w:r>
        <w:rPr>
          <w:rFonts w:hint="eastAsia" w:ascii="Times New Roman" w:hAnsi="Times New Roman" w:eastAsia="仿宋_GB2312" w:cs="仿宋_GB2312"/>
          <w:color w:val="auto"/>
          <w:sz w:val="32"/>
          <w:szCs w:val="32"/>
          <w:lang w:val="en-US" w:eastAsia="zh-CN"/>
        </w:rPr>
        <w:t>村</w:t>
      </w:r>
      <w:r>
        <w:rPr>
          <w:rFonts w:hint="default" w:ascii="Times New Roman" w:hAnsi="Times New Roman" w:eastAsia="仿宋_GB2312" w:cs="仿宋_GB2312"/>
          <w:color w:val="auto"/>
          <w:sz w:val="32"/>
          <w:szCs w:val="32"/>
          <w:lang w:val="en-US" w:eastAsia="zh-CN"/>
        </w:rPr>
        <w:t>规划师在该项工作中的分工情况，明确各类主体解决的重要问题和创新思路方法，体现不同主体在规划中的重要作用。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格式</w:t>
      </w:r>
      <w:r>
        <w:rPr>
          <w:rFonts w:hint="eastAsia" w:ascii="楷体_GB2312" w:hAnsi="楷体_GB2312" w:eastAsia="楷体_GB2312" w:cs="楷体_GB2312"/>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default" w:ascii="Times New Roman" w:hAnsi="Times New Roman" w:eastAsia="仿宋_GB2312" w:cs="仿宋_GB2312"/>
          <w:color w:val="auto"/>
          <w:sz w:val="32"/>
          <w:szCs w:val="32"/>
          <w:lang w:val="en-US" w:eastAsia="zh-CN"/>
        </w:rPr>
        <w:t>文件为A4竖版大小，</w:t>
      </w:r>
      <w:r>
        <w:rPr>
          <w:rFonts w:hint="eastAsia" w:ascii="Times New Roman" w:hAnsi="Times New Roman" w:eastAsia="仿宋_GB2312" w:cs="仿宋_GB2312"/>
          <w:color w:val="auto"/>
          <w:sz w:val="32"/>
          <w:szCs w:val="32"/>
          <w:lang w:val="en-US" w:eastAsia="zh-CN"/>
        </w:rPr>
        <w:t>PDF</w:t>
      </w:r>
      <w:r>
        <w:rPr>
          <w:rFonts w:hint="default" w:ascii="Times New Roman" w:hAnsi="Times New Roman" w:eastAsia="仿宋_GB2312" w:cs="仿宋_GB2312"/>
          <w:color w:val="auto"/>
          <w:sz w:val="32"/>
          <w:szCs w:val="32"/>
          <w:lang w:val="en-US" w:eastAsia="zh-CN"/>
        </w:rPr>
        <w:t>格式，可适当插入主要图件。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default" w:ascii="Times New Roman" w:hAnsi="Times New Roman" w:eastAsia="仿宋_GB2312" w:cs="仿宋_GB2312"/>
          <w:color w:val="auto"/>
          <w:sz w:val="32"/>
          <w:szCs w:val="32"/>
          <w:lang w:val="en-US" w:eastAsia="zh-CN"/>
        </w:rPr>
        <w:t>文本内相关图片另附</w:t>
      </w:r>
      <w:r>
        <w:rPr>
          <w:rFonts w:hint="eastAsia" w:ascii="Times New Roman" w:hAnsi="Times New Roman" w:eastAsia="仿宋_GB2312" w:cs="仿宋_GB2312"/>
          <w:color w:val="auto"/>
          <w:sz w:val="32"/>
          <w:szCs w:val="32"/>
          <w:lang w:val="en-US" w:eastAsia="zh-CN"/>
        </w:rPr>
        <w:t>JPG</w:t>
      </w:r>
      <w:r>
        <w:rPr>
          <w:rFonts w:hint="default" w:ascii="Times New Roman" w:hAnsi="Times New Roman" w:eastAsia="仿宋_GB2312" w:cs="仿宋_GB2312"/>
          <w:color w:val="auto"/>
          <w:sz w:val="32"/>
          <w:szCs w:val="32"/>
          <w:lang w:val="en-US" w:eastAsia="zh-CN"/>
        </w:rPr>
        <w:t>文件，5M以内。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四、评选组织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（一）各市（州）</w:t>
      </w:r>
      <w:r>
        <w:rPr>
          <w:rFonts w:hint="default" w:ascii="Times New Roman" w:hAnsi="Times New Roman" w:eastAsia="仿宋_GB2312" w:cs="仿宋_GB2312"/>
          <w:color w:val="auto"/>
          <w:sz w:val="32"/>
          <w:szCs w:val="32"/>
          <w:lang w:val="en-US" w:eastAsia="zh-CN"/>
        </w:rPr>
        <w:t>自然资源主管部门</w:t>
      </w:r>
      <w:r>
        <w:rPr>
          <w:rFonts w:hint="eastAsia" w:ascii="Times New Roman" w:hAnsi="Times New Roman" w:eastAsia="仿宋_GB2312" w:cs="仿宋_GB2312"/>
          <w:color w:val="auto"/>
          <w:sz w:val="32"/>
          <w:szCs w:val="32"/>
          <w:lang w:val="en-US" w:eastAsia="zh-CN"/>
        </w:rPr>
        <w:t>针对申报材料的完整性、真实性、典型性和成效显著性等方面统一开展审核工作，并按照通知要求按时报送省自然资源厅。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（二）针对各地上报案例，经资料审查确定评选名单，省级组织开展</w:t>
      </w:r>
      <w:r>
        <w:rPr>
          <w:rFonts w:hint="default" w:ascii="Times New Roman" w:hAnsi="Times New Roman" w:eastAsia="仿宋_GB2312" w:cs="仿宋_GB2312"/>
          <w:color w:val="auto"/>
          <w:sz w:val="32"/>
          <w:szCs w:val="32"/>
          <w:lang w:val="en-US" w:eastAsia="zh-CN"/>
        </w:rPr>
        <w:t>遴选评分</w:t>
      </w:r>
      <w:r>
        <w:rPr>
          <w:rFonts w:hint="eastAsia" w:ascii="Times New Roman" w:hAnsi="Times New Roman" w:eastAsia="仿宋_GB2312" w:cs="仿宋_GB2312"/>
          <w:color w:val="auto"/>
          <w:sz w:val="32"/>
          <w:szCs w:val="32"/>
          <w:lang w:val="en-US" w:eastAsia="zh-CN"/>
        </w:rPr>
        <w:t>，优秀案例评选的</w:t>
      </w:r>
      <w:r>
        <w:rPr>
          <w:rFonts w:hint="default" w:ascii="Times New Roman" w:hAnsi="Times New Roman" w:eastAsia="仿宋_GB2312" w:cs="仿宋_GB2312"/>
          <w:color w:val="auto"/>
          <w:sz w:val="32"/>
          <w:szCs w:val="32"/>
          <w:lang w:val="en-US" w:eastAsia="zh-CN"/>
        </w:rPr>
        <w:t>总数原则上不超过参加评选项目数量的60％</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w:t>
      </w:r>
      <w:r>
        <w:rPr>
          <w:rFonts w:hint="default" w:ascii="Times New Roman" w:hAnsi="Times New Roman" w:eastAsia="仿宋_GB2312" w:cs="仿宋_GB2312"/>
          <w:color w:val="auto"/>
          <w:sz w:val="32"/>
          <w:szCs w:val="32"/>
          <w:lang w:val="en-US" w:eastAsia="zh-CN"/>
        </w:rPr>
        <w:t>遴选评分包括</w:t>
      </w:r>
      <w:r>
        <w:rPr>
          <w:rFonts w:hint="eastAsia" w:ascii="Times New Roman" w:hAnsi="Times New Roman" w:eastAsia="仿宋_GB2312" w:cs="仿宋_GB2312"/>
          <w:color w:val="auto"/>
          <w:sz w:val="32"/>
          <w:szCs w:val="32"/>
          <w:lang w:val="en-US" w:eastAsia="zh-CN"/>
        </w:rPr>
        <w:t>线下</w:t>
      </w:r>
      <w:r>
        <w:rPr>
          <w:rFonts w:hint="default" w:ascii="Times New Roman" w:hAnsi="Times New Roman" w:eastAsia="仿宋_GB2312" w:cs="仿宋_GB2312"/>
          <w:color w:val="auto"/>
          <w:sz w:val="32"/>
          <w:szCs w:val="32"/>
          <w:lang w:val="en-US" w:eastAsia="zh-CN"/>
        </w:rPr>
        <w:t>评</w:t>
      </w:r>
      <w:r>
        <w:rPr>
          <w:rFonts w:hint="eastAsia" w:ascii="Times New Roman" w:hAnsi="Times New Roman" w:eastAsia="仿宋_GB2312" w:cs="仿宋_GB2312"/>
          <w:color w:val="auto"/>
          <w:sz w:val="32"/>
          <w:szCs w:val="32"/>
          <w:lang w:val="en-US" w:eastAsia="zh-CN"/>
        </w:rPr>
        <w:t>审</w:t>
      </w:r>
      <w:r>
        <w:rPr>
          <w:rFonts w:hint="default" w:ascii="Times New Roman" w:hAnsi="Times New Roman" w:eastAsia="仿宋_GB2312" w:cs="仿宋_GB2312"/>
          <w:color w:val="auto"/>
          <w:sz w:val="32"/>
          <w:szCs w:val="32"/>
          <w:lang w:val="en-US" w:eastAsia="zh-CN"/>
        </w:rPr>
        <w:t>和</w:t>
      </w:r>
      <w:r>
        <w:rPr>
          <w:rFonts w:hint="eastAsia" w:ascii="Times New Roman" w:hAnsi="Times New Roman" w:eastAsia="仿宋_GB2312" w:cs="Times New Roman"/>
          <w:color w:val="auto"/>
          <w:sz w:val="32"/>
          <w:szCs w:val="32"/>
          <w:lang w:val="en-US" w:eastAsia="zh-CN"/>
        </w:rPr>
        <w:t>线上评审</w:t>
      </w:r>
      <w:r>
        <w:rPr>
          <w:rFonts w:hint="default" w:ascii="Times New Roman" w:hAnsi="Times New Roman" w:eastAsia="仿宋_GB2312" w:cs="仿宋_GB2312"/>
          <w:color w:val="auto"/>
          <w:sz w:val="32"/>
          <w:szCs w:val="32"/>
          <w:lang w:val="en-US" w:eastAsia="zh-CN"/>
        </w:rPr>
        <w:t>两部分。评选结果将综合</w:t>
      </w:r>
      <w:r>
        <w:rPr>
          <w:rFonts w:hint="eastAsia" w:ascii="Times New Roman" w:hAnsi="Times New Roman" w:eastAsia="仿宋_GB2312" w:cs="仿宋_GB2312"/>
          <w:color w:val="auto"/>
          <w:sz w:val="32"/>
          <w:szCs w:val="32"/>
          <w:lang w:val="en-US" w:eastAsia="zh-CN"/>
        </w:rPr>
        <w:t>线下</w:t>
      </w:r>
      <w:r>
        <w:rPr>
          <w:rFonts w:hint="default" w:ascii="Times New Roman" w:hAnsi="Times New Roman" w:eastAsia="仿宋_GB2312" w:cs="仿宋_GB2312"/>
          <w:color w:val="auto"/>
          <w:sz w:val="32"/>
          <w:szCs w:val="32"/>
          <w:lang w:val="en-US" w:eastAsia="zh-CN"/>
        </w:rPr>
        <w:t>评审、</w:t>
      </w:r>
      <w:r>
        <w:rPr>
          <w:rFonts w:hint="eastAsia" w:ascii="Times New Roman" w:hAnsi="Times New Roman" w:eastAsia="仿宋_GB2312" w:cs="Times New Roman"/>
          <w:color w:val="auto"/>
          <w:sz w:val="32"/>
          <w:szCs w:val="32"/>
          <w:lang w:val="en-US" w:eastAsia="zh-CN"/>
        </w:rPr>
        <w:t>线上评审</w:t>
      </w:r>
      <w:r>
        <w:rPr>
          <w:rFonts w:hint="default" w:ascii="Times New Roman" w:hAnsi="Times New Roman" w:eastAsia="仿宋_GB2312" w:cs="仿宋_GB2312"/>
          <w:color w:val="auto"/>
          <w:sz w:val="32"/>
          <w:szCs w:val="32"/>
          <w:lang w:val="en-US" w:eastAsia="zh-CN"/>
        </w:rPr>
        <w:t>两部分的得分情况</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.线下</w:t>
      </w:r>
      <w:r>
        <w:rPr>
          <w:rFonts w:hint="default" w:ascii="Times New Roman" w:hAnsi="Times New Roman" w:eastAsia="仿宋_GB2312" w:cs="仿宋_GB2312"/>
          <w:color w:val="auto"/>
          <w:sz w:val="32"/>
          <w:szCs w:val="32"/>
          <w:lang w:val="en-US" w:eastAsia="zh-CN"/>
        </w:rPr>
        <w:t>评审（</w:t>
      </w:r>
      <w:r>
        <w:rPr>
          <w:rFonts w:hint="eastAsia" w:ascii="Times New Roman" w:hAnsi="Times New Roman" w:eastAsia="仿宋_GB2312" w:cs="仿宋_GB2312"/>
          <w:color w:val="auto"/>
          <w:sz w:val="32"/>
          <w:szCs w:val="32"/>
          <w:lang w:val="en-US" w:eastAsia="zh-CN"/>
        </w:rPr>
        <w:t>占比8</w:t>
      </w:r>
      <w:r>
        <w:rPr>
          <w:rFonts w:hint="default"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邀请</w:t>
      </w:r>
      <w:r>
        <w:rPr>
          <w:rFonts w:hint="default" w:ascii="Times New Roman" w:hAnsi="Times New Roman" w:eastAsia="仿宋_GB2312" w:cs="Times New Roman"/>
          <w:color w:val="auto"/>
          <w:sz w:val="32"/>
          <w:szCs w:val="32"/>
          <w:lang w:val="en-US" w:eastAsia="zh-CN"/>
        </w:rPr>
        <w:t>有关</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专家及技术单位</w:t>
      </w:r>
      <w:r>
        <w:rPr>
          <w:rFonts w:hint="default" w:ascii="Times New Roman" w:hAnsi="Times New Roman" w:eastAsia="仿宋_GB2312" w:cs="仿宋_GB2312"/>
          <w:color w:val="auto"/>
          <w:sz w:val="32"/>
          <w:szCs w:val="32"/>
          <w:lang w:val="en-US" w:eastAsia="zh-CN"/>
        </w:rPr>
        <w:t>集中评审，参照</w:t>
      </w:r>
      <w:r>
        <w:rPr>
          <w:rFonts w:hint="eastAsia" w:ascii="Times New Roman" w:hAnsi="Times New Roman" w:eastAsia="仿宋_GB2312"/>
          <w:color w:val="auto"/>
          <w:sz w:val="32"/>
          <w:szCs w:val="32"/>
        </w:rPr>
        <w:t>《贵州省村庄规划编制技术指南（试行）》</w:t>
      </w:r>
      <w:r>
        <w:rPr>
          <w:rFonts w:hint="eastAsia" w:ascii="Times New Roman" w:hAnsi="Times New Roman" w:eastAsia="仿宋_GB2312" w:cs="仿宋_GB2312"/>
          <w:color w:val="auto"/>
          <w:sz w:val="32"/>
          <w:szCs w:val="32"/>
          <w:lang w:val="en-US" w:eastAsia="zh-CN"/>
        </w:rPr>
        <w:t>相关标准</w:t>
      </w:r>
      <w:r>
        <w:rPr>
          <w:rFonts w:hint="default" w:ascii="Times New Roman" w:hAnsi="Times New Roman" w:eastAsia="仿宋_GB2312" w:cs="仿宋_GB2312"/>
          <w:color w:val="auto"/>
          <w:sz w:val="32"/>
          <w:szCs w:val="32"/>
          <w:lang w:val="en-US" w:eastAsia="zh-CN"/>
        </w:rPr>
        <w:t>，对参评材料进行评分。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线上评审</w:t>
      </w:r>
      <w:r>
        <w:rPr>
          <w:rFonts w:hint="default"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占比2</w:t>
      </w:r>
      <w:r>
        <w:rPr>
          <w:rFonts w:hint="default"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邀请省外知名专家对规划案例开展线上评审，依据《村庄规划优秀案例评分表》</w:t>
      </w:r>
      <w:r>
        <w:rPr>
          <w:rFonts w:hint="default" w:ascii="Times New Roman" w:hAnsi="Times New Roman" w:eastAsia="仿宋_GB2312" w:cs="仿宋_GB2312"/>
          <w:color w:val="auto"/>
          <w:sz w:val="32"/>
          <w:szCs w:val="32"/>
          <w:lang w:val="en-US" w:eastAsia="zh-CN"/>
        </w:rPr>
        <w:t>，对参评材料进行评分。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3.现场复核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本着实事求是、宁缺毋滥的原则，省厅将对拟入选的优秀案例组织专家进行实地复核，如发现与申报材料不符的，将直接取消评选资格并通报批评，复核情况一致的将进入公示环节。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Times New Roman" w:hAnsi="Times New Roman" w:eastAsia="仿宋_GB2312" w:cs="仿宋_GB2312"/>
          <w:color w:val="auto"/>
          <w:sz w:val="32"/>
          <w:szCs w:val="32"/>
          <w:lang w:val="en-US" w:eastAsia="zh-CN"/>
        </w:rPr>
        <w:t>依据《村庄规划优秀案例评分表》进行评分，总分100分，计分值按最后得分的80%计算。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b w:val="0"/>
          <w:bCs w:val="0"/>
          <w:color w:val="auto"/>
          <w:sz w:val="32"/>
          <w:szCs w:val="32"/>
          <w:lang w:val="en-US" w:eastAsia="zh-CN"/>
        </w:rPr>
        <w:t>村庄规划优秀案例评分表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                                 评分人：</w:t>
      </w: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375"/>
        <w:gridCol w:w="3034"/>
        <w:gridCol w:w="743"/>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序号</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评分项目</w:t>
            </w:r>
          </w:p>
        </w:tc>
        <w:tc>
          <w:tcPr>
            <w:tcW w:w="30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评分内容</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得分</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成果完整性（</w:t>
            </w:r>
            <w:r>
              <w:rPr>
                <w:rFonts w:hint="eastAsia" w:ascii="Times New Roman" w:hAnsi="Times New Roman" w:eastAsia="仿宋_GB2312" w:cs="Times New Roman"/>
                <w:color w:val="auto"/>
                <w:sz w:val="24"/>
                <w:szCs w:val="24"/>
                <w:vertAlign w:val="baseline"/>
                <w:lang w:val="en-US" w:eastAsia="zh-CN"/>
              </w:rPr>
              <w:t>15</w:t>
            </w:r>
            <w:r>
              <w:rPr>
                <w:rFonts w:hint="default" w:ascii="Times New Roman" w:hAnsi="Times New Roman" w:eastAsia="仿宋_GB2312" w:cs="Times New Roman"/>
                <w:color w:val="auto"/>
                <w:sz w:val="24"/>
                <w:szCs w:val="24"/>
                <w:vertAlign w:val="baseline"/>
                <w:lang w:val="en-US" w:eastAsia="zh-CN"/>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备案版成果（包含文本、图件、数据库及附表）</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村民版成果（村民版成果应包括“</w:t>
            </w:r>
            <w:r>
              <w:rPr>
                <w:rFonts w:hint="eastAsia" w:ascii="Times New Roman" w:hAnsi="Times New Roman" w:eastAsia="仿宋_GB2312" w:cs="Times New Roman"/>
                <w:color w:val="auto"/>
                <w:sz w:val="24"/>
                <w:szCs w:val="24"/>
                <w:vertAlign w:val="baseline"/>
                <w:lang w:val="en-US" w:eastAsia="zh-CN"/>
              </w:rPr>
              <w:t>1</w:t>
            </w:r>
            <w:r>
              <w:rPr>
                <w:rFonts w:hint="default" w:ascii="Times New Roman" w:hAnsi="Times New Roman" w:eastAsia="仿宋_GB2312" w:cs="Times New Roman"/>
                <w:color w:val="auto"/>
                <w:sz w:val="24"/>
                <w:szCs w:val="24"/>
                <w:vertAlign w:val="baseline"/>
                <w:lang w:val="en-US" w:eastAsia="zh-CN"/>
              </w:rPr>
              <w:t>图1表1</w:t>
            </w:r>
            <w:r>
              <w:rPr>
                <w:rFonts w:hint="eastAsia" w:ascii="Times New Roman" w:hAnsi="Times New Roman" w:eastAsia="仿宋_GB2312" w:cs="Times New Roman"/>
                <w:color w:val="auto"/>
                <w:sz w:val="24"/>
                <w:szCs w:val="24"/>
                <w:vertAlign w:val="baseline"/>
                <w:lang w:val="en-US" w:eastAsia="zh-CN"/>
              </w:rPr>
              <w:t>说明</w:t>
            </w:r>
            <w:r>
              <w:rPr>
                <w:rFonts w:hint="default" w:ascii="Times New Roman" w:hAnsi="Times New Roman" w:eastAsia="仿宋_GB2312" w:cs="Times New Roman"/>
                <w:color w:val="auto"/>
                <w:sz w:val="24"/>
                <w:szCs w:val="24"/>
                <w:vertAlign w:val="baseline"/>
                <w:lang w:val="en-US" w:eastAsia="zh-CN"/>
              </w:rPr>
              <w:t>”，分别为</w:t>
            </w:r>
            <w:r>
              <w:rPr>
                <w:rFonts w:hint="eastAsia" w:ascii="Times New Roman" w:hAnsi="Times New Roman" w:eastAsia="仿宋_GB2312" w:cs="Times New Roman"/>
                <w:color w:val="auto"/>
                <w:sz w:val="24"/>
                <w:szCs w:val="24"/>
                <w:vertAlign w:val="baseline"/>
                <w:lang w:val="en-US" w:eastAsia="zh-CN"/>
              </w:rPr>
              <w:t>主体村庄规划总平面图</w:t>
            </w:r>
            <w:r>
              <w:rPr>
                <w:rFonts w:hint="default" w:ascii="Times New Roman" w:hAnsi="Times New Roman" w:eastAsia="仿宋_GB2312" w:cs="Times New Roman"/>
                <w:color w:val="auto"/>
                <w:sz w:val="24"/>
                <w:szCs w:val="24"/>
                <w:vertAlign w:val="baseline"/>
                <w:lang w:val="en-US" w:eastAsia="zh-CN"/>
              </w:rPr>
              <w:t>、近期</w:t>
            </w:r>
            <w:r>
              <w:rPr>
                <w:rFonts w:hint="eastAsia" w:ascii="Times New Roman" w:hAnsi="Times New Roman" w:eastAsia="仿宋_GB2312" w:cs="Times New Roman"/>
                <w:color w:val="auto"/>
                <w:sz w:val="24"/>
                <w:szCs w:val="24"/>
                <w:vertAlign w:val="baseline"/>
                <w:lang w:val="en-US" w:eastAsia="zh-CN"/>
              </w:rPr>
              <w:t>建设</w:t>
            </w:r>
            <w:r>
              <w:rPr>
                <w:rFonts w:hint="default" w:ascii="Times New Roman" w:hAnsi="Times New Roman" w:eastAsia="仿宋_GB2312" w:cs="Times New Roman"/>
                <w:color w:val="auto"/>
                <w:sz w:val="24"/>
                <w:szCs w:val="24"/>
                <w:vertAlign w:val="baseline"/>
                <w:lang w:val="en-US" w:eastAsia="zh-CN"/>
              </w:rPr>
              <w:t>项目表、村庄规划</w:t>
            </w:r>
            <w:r>
              <w:rPr>
                <w:rFonts w:hint="eastAsia" w:ascii="Times New Roman" w:hAnsi="Times New Roman" w:eastAsia="仿宋_GB2312" w:cs="Times New Roman"/>
                <w:color w:val="auto"/>
                <w:sz w:val="24"/>
                <w:szCs w:val="24"/>
                <w:vertAlign w:val="baseline"/>
                <w:lang w:val="en-US" w:eastAsia="zh-CN"/>
              </w:rPr>
              <w:t>说明</w:t>
            </w:r>
            <w:r>
              <w:rPr>
                <w:rFonts w:hint="default"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bookmarkStart w:id="0" w:name="_GoBack"/>
            <w:bookmarkEnd w:id="0"/>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成果完整规范，表达效果好</w:t>
            </w:r>
            <w:r>
              <w:rPr>
                <w:rFonts w:hint="eastAsia" w:ascii="Times New Roman" w:hAnsi="Times New Roman" w:eastAsia="仿宋_GB2312" w:cs="Times New Roman"/>
                <w:color w:val="auto"/>
                <w:sz w:val="24"/>
                <w:szCs w:val="24"/>
                <w:vertAlign w:val="baseline"/>
                <w:lang w:val="en-US" w:eastAsia="zh-CN"/>
              </w:rPr>
              <w:t>（10-15分）。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成果</w:t>
            </w:r>
            <w:r>
              <w:rPr>
                <w:rFonts w:hint="eastAsia" w:ascii="Times New Roman" w:hAnsi="Times New Roman" w:eastAsia="仿宋_GB2312" w:cs="Times New Roman"/>
                <w:color w:val="auto"/>
                <w:sz w:val="24"/>
                <w:szCs w:val="24"/>
                <w:vertAlign w:val="baseline"/>
                <w:lang w:val="en-US" w:eastAsia="zh-CN"/>
              </w:rPr>
              <w:t>基本</w:t>
            </w:r>
            <w:r>
              <w:rPr>
                <w:rFonts w:hint="default" w:ascii="Times New Roman" w:hAnsi="Times New Roman" w:eastAsia="仿宋_GB2312" w:cs="Times New Roman"/>
                <w:color w:val="auto"/>
                <w:sz w:val="24"/>
                <w:szCs w:val="24"/>
                <w:vertAlign w:val="baseline"/>
                <w:lang w:val="en-US" w:eastAsia="zh-CN"/>
              </w:rPr>
              <w:t>完整</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表达效果较一般</w:t>
            </w:r>
            <w:r>
              <w:rPr>
                <w:rFonts w:hint="eastAsia"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kern w:val="2"/>
                <w:sz w:val="24"/>
                <w:szCs w:val="24"/>
                <w:vertAlign w:val="baseline"/>
                <w:lang w:val="en-US" w:eastAsia="zh-CN" w:bidi="ar-SA"/>
              </w:rPr>
              <w:t>5-9</w:t>
            </w:r>
            <w:r>
              <w:rPr>
                <w:rFonts w:hint="eastAsia" w:ascii="Times New Roman" w:hAnsi="Times New Roman" w:eastAsia="仿宋_GB2312" w:cs="Times New Roman"/>
                <w:color w:val="auto"/>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村民参与度</w:t>
            </w:r>
            <w:r>
              <w:rPr>
                <w:rFonts w:hint="default" w:ascii="Times New Roman" w:hAnsi="Times New Roman" w:eastAsia="仿宋_GB2312"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0</w:t>
            </w:r>
            <w:r>
              <w:rPr>
                <w:rFonts w:hint="default" w:ascii="Times New Roman" w:hAnsi="Times New Roman" w:eastAsia="仿宋_GB2312" w:cs="Times New Roman"/>
                <w:color w:val="auto"/>
                <w:kern w:val="2"/>
                <w:sz w:val="24"/>
                <w:szCs w:val="24"/>
                <w:vertAlign w:val="baseline"/>
                <w:lang w:val="en-US" w:eastAsia="zh-CN" w:bidi="ar-SA"/>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kern w:val="2"/>
                <w:sz w:val="24"/>
                <w:szCs w:val="24"/>
                <w:vertAlign w:val="baseline"/>
                <w:lang w:val="en-US" w:eastAsia="zh-CN" w:bidi="ar-SA"/>
              </w:rPr>
              <w:t>规划成果充分反映村民诉求</w:t>
            </w:r>
            <w:r>
              <w:rPr>
                <w:rFonts w:hint="eastAsia" w:ascii="Times New Roman" w:hAnsi="Times New Roman" w:eastAsia="仿宋_GB2312" w:cs="Times New Roman"/>
                <w:color w:val="auto"/>
                <w:kern w:val="2"/>
                <w:sz w:val="24"/>
                <w:szCs w:val="24"/>
                <w:vertAlign w:val="baseline"/>
                <w:lang w:val="en-US" w:eastAsia="zh-CN" w:bidi="ar-SA"/>
              </w:rPr>
              <w:t>，解决乡村发展实际问题，有较强的落地性（</w:t>
            </w:r>
            <w:r>
              <w:rPr>
                <w:rFonts w:hint="default" w:ascii="Times New Roman" w:hAnsi="Times New Roman" w:eastAsia="仿宋_GB2312" w:cs="Times New Roman"/>
                <w:color w:val="auto"/>
                <w:kern w:val="2"/>
                <w:sz w:val="24"/>
                <w:szCs w:val="24"/>
                <w:vertAlign w:val="baseline"/>
                <w:lang w:val="en-US" w:eastAsia="zh-CN" w:bidi="ar-SA"/>
              </w:rPr>
              <w:t>包括村民意见征集材料、会议纪要、部门意见、专家论证意见、村民参与村庄规划的相关记录材料等</w:t>
            </w:r>
            <w:r>
              <w:rPr>
                <w:rFonts w:hint="eastAsia" w:ascii="Times New Roman" w:hAnsi="Times New Roman" w:eastAsia="仿宋_GB2312" w:cs="Times New Roman"/>
                <w:color w:val="auto"/>
                <w:kern w:val="2"/>
                <w:sz w:val="24"/>
                <w:szCs w:val="24"/>
                <w:vertAlign w:val="baseline"/>
                <w:lang w:val="en-US" w:eastAsia="zh-CN" w:bidi="ar-SA"/>
              </w:rPr>
              <w:t>）。</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村民参与度好，程序规范，符合村庄发展实际，组织编制有亮点（6-10分）。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28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kern w:val="2"/>
                <w:sz w:val="24"/>
                <w:szCs w:val="24"/>
                <w:vertAlign w:val="baseline"/>
                <w:lang w:val="en-US" w:eastAsia="zh-CN" w:bidi="ar-SA"/>
              </w:rPr>
              <w:t>村民有参与，程序满足要求，规划可行（3-5分）。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规划底线管控</w:t>
            </w:r>
            <w:r>
              <w:rPr>
                <w:rFonts w:hint="default" w:ascii="Times New Roman" w:hAnsi="Times New Roman" w:eastAsia="仿宋_GB2312"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5</w:t>
            </w:r>
            <w:r>
              <w:rPr>
                <w:rFonts w:hint="default" w:ascii="Times New Roman" w:hAnsi="Times New Roman" w:eastAsia="仿宋_GB2312" w:cs="Times New Roman"/>
                <w:color w:val="auto"/>
                <w:kern w:val="2"/>
                <w:sz w:val="24"/>
                <w:szCs w:val="24"/>
                <w:vertAlign w:val="baseline"/>
                <w:lang w:val="en-US" w:eastAsia="zh-CN" w:bidi="ar-SA"/>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“三区三线”衔接情况</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是否严格落实生态保护红线、耕地和永久基本农田保护要求；村庄建设边界划定是否科学，是否引导集中建设，处理好保障村民宅基地建房需要、村庄产业用地需求与系统保护好乡村自然风光和田园景观之间的关系。</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规划充分衔接“三区三线”，严格落实各类保护要求，建设用地不占用</w:t>
            </w:r>
            <w:r>
              <w:rPr>
                <w:rFonts w:hint="default" w:ascii="Times New Roman" w:hAnsi="Times New Roman" w:eastAsia="仿宋_GB2312" w:cs="Times New Roman"/>
                <w:color w:val="auto"/>
                <w:sz w:val="24"/>
                <w:szCs w:val="24"/>
                <w:vertAlign w:val="baseline"/>
                <w:lang w:val="en-US" w:eastAsia="zh-CN"/>
              </w:rPr>
              <w:t>生态保护红线、耕地和永久基本农田</w:t>
            </w:r>
            <w:r>
              <w:rPr>
                <w:rFonts w:hint="eastAsia" w:ascii="Times New Roman" w:hAnsi="Times New Roman" w:eastAsia="仿宋_GB2312" w:cs="Times New Roman"/>
                <w:color w:val="auto"/>
                <w:sz w:val="24"/>
                <w:szCs w:val="24"/>
                <w:vertAlign w:val="baseline"/>
                <w:lang w:val="en-US" w:eastAsia="zh-CN"/>
              </w:rPr>
              <w:t>，节约集约用地较好的（10-15分）。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规划已衔接“三区三线”，落实各类保护要求，建设边界划定科学合理的（5-9分）。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村庄风貌特色</w:t>
            </w:r>
            <w:r>
              <w:rPr>
                <w:rFonts w:hint="default" w:ascii="Times New Roman" w:hAnsi="Times New Roman" w:eastAsia="仿宋_GB2312"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5</w:t>
            </w:r>
            <w:r>
              <w:rPr>
                <w:rFonts w:hint="default" w:ascii="Times New Roman" w:hAnsi="Times New Roman" w:eastAsia="仿宋_GB2312" w:cs="Times New Roman"/>
                <w:color w:val="auto"/>
                <w:kern w:val="2"/>
                <w:sz w:val="24"/>
                <w:szCs w:val="24"/>
                <w:vertAlign w:val="baseline"/>
                <w:lang w:val="en-US" w:eastAsia="zh-CN" w:bidi="ar-SA"/>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是否提出村庄整体风貌管控和指引；是否结合当地特色提出建筑风格、材质、高度、色彩、构件、装饰符号等建筑要素的管控要求；是否与相关保护规划做好衔接（如有历史文化名村、中国传统村落）</w:t>
            </w:r>
            <w:r>
              <w:rPr>
                <w:rFonts w:hint="eastAsia" w:ascii="Times New Roman" w:hAnsi="Times New Roman" w:eastAsia="仿宋_GB2312" w:cs="Times New Roman"/>
                <w:color w:val="auto"/>
                <w:sz w:val="24"/>
                <w:szCs w:val="24"/>
                <w:vertAlign w:val="baseline"/>
                <w:lang w:val="en-US" w:eastAsia="zh-CN"/>
              </w:rPr>
              <w:t>，是否对乡村建筑、环境、非遗等提出保护措施</w:t>
            </w:r>
            <w:r>
              <w:rPr>
                <w:rFonts w:hint="default" w:ascii="Times New Roman" w:hAnsi="Times New Roman" w:eastAsia="仿宋_GB2312" w:cs="Times New Roman"/>
                <w:color w:val="auto"/>
                <w:sz w:val="24"/>
                <w:szCs w:val="24"/>
                <w:vertAlign w:val="baseline"/>
                <w:lang w:val="en-US" w:eastAsia="zh-CN"/>
              </w:rPr>
              <w:t>。</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结合当地特色提出村庄整体风貌及建筑风貌管控引导要求，较好的保护乡村的山水格局、田园风光和历史文化资源（10-15分）。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明确村庄风貌管控引导要求，做好与相关保护规划的衔接（5-9分）。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村庄安全防灾</w:t>
            </w:r>
            <w:r>
              <w:rPr>
                <w:rFonts w:hint="default" w:ascii="Times New Roman" w:hAnsi="Times New Roman" w:eastAsia="仿宋_GB2312" w:cs="Times New Roman"/>
                <w:color w:val="auto"/>
                <w:kern w:val="2"/>
                <w:sz w:val="24"/>
                <w:szCs w:val="24"/>
                <w:vertAlign w:val="baseline"/>
                <w:lang w:val="en-US" w:eastAsia="zh-CN" w:bidi="ar-SA"/>
              </w:rPr>
              <w:t>（10分）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村庄建设布局</w:t>
            </w:r>
            <w:r>
              <w:rPr>
                <w:rFonts w:hint="default" w:ascii="Times New Roman" w:hAnsi="Times New Roman" w:eastAsia="仿宋_GB2312" w:cs="Times New Roman"/>
                <w:color w:val="auto"/>
                <w:sz w:val="24"/>
                <w:szCs w:val="24"/>
                <w:vertAlign w:val="baseline"/>
                <w:lang w:val="en-US" w:eastAsia="zh-CN"/>
              </w:rPr>
              <w:t>是否避让了地质灾害易发、行洪泄洪、抗震不利等地段，无法避让的是否提出相应措施；是否明确</w:t>
            </w:r>
            <w:r>
              <w:rPr>
                <w:rFonts w:hint="eastAsia" w:ascii="Times New Roman" w:hAnsi="Times New Roman" w:eastAsia="仿宋_GB2312" w:cs="Times New Roman"/>
                <w:color w:val="auto"/>
                <w:sz w:val="24"/>
                <w:szCs w:val="24"/>
                <w:vertAlign w:val="baseline"/>
                <w:lang w:val="en-US" w:eastAsia="zh-CN"/>
              </w:rPr>
              <w:t>相关安全管控要求。</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村庄建设布局科学合理，明确划定灾害影响范围和安全防护范围，灾害预防和应对措施合理可行（6-10分）。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村庄建设布局科学合理，有相关安全防灾管控要求（3-5分）。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近期建设项目</w:t>
            </w:r>
            <w:r>
              <w:rPr>
                <w:rFonts w:hint="default" w:ascii="Times New Roman" w:hAnsi="Times New Roman" w:eastAsia="仿宋_GB2312"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0</w:t>
            </w:r>
            <w:r>
              <w:rPr>
                <w:rFonts w:hint="default" w:ascii="Times New Roman" w:hAnsi="Times New Roman" w:eastAsia="仿宋_GB2312" w:cs="Times New Roman"/>
                <w:color w:val="auto"/>
                <w:kern w:val="2"/>
                <w:sz w:val="24"/>
                <w:szCs w:val="24"/>
                <w:vertAlign w:val="baseline"/>
                <w:lang w:val="en-US" w:eastAsia="zh-CN" w:bidi="ar-SA"/>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近期项目是否合理安排建设时序，明确位置、建设标准</w:t>
            </w:r>
            <w:r>
              <w:rPr>
                <w:rFonts w:hint="eastAsia" w:ascii="Times New Roman" w:hAnsi="Times New Roman" w:eastAsia="仿宋_GB2312" w:cs="Times New Roman"/>
                <w:color w:val="auto"/>
                <w:sz w:val="24"/>
                <w:szCs w:val="24"/>
                <w:vertAlign w:val="baseline"/>
                <w:lang w:val="en-US" w:eastAsia="zh-CN"/>
              </w:rPr>
              <w:t>、资金来源</w:t>
            </w:r>
            <w:r>
              <w:rPr>
                <w:rFonts w:hint="default" w:ascii="Times New Roman" w:hAnsi="Times New Roman" w:eastAsia="仿宋_GB2312" w:cs="Times New Roman"/>
                <w:color w:val="auto"/>
                <w:sz w:val="24"/>
                <w:szCs w:val="24"/>
                <w:vertAlign w:val="baseline"/>
                <w:lang w:val="en-US" w:eastAsia="zh-CN"/>
              </w:rPr>
              <w:t>；近期建设项目实施是否合法合规。</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近期建设项目切实可行、节约集约、合法合规，充分考虑村庄人力、财力和居民的迫切需求（6-10分）。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对近期建设项目有安排，项目可实施（3-5分）。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推广示范价值</w:t>
            </w:r>
            <w:r>
              <w:rPr>
                <w:rFonts w:hint="default" w:ascii="Times New Roman" w:hAnsi="Times New Roman" w:eastAsia="仿宋_GB2312" w:cs="Times New Roman"/>
                <w:color w:val="auto"/>
                <w:kern w:val="2"/>
                <w:sz w:val="24"/>
                <w:szCs w:val="24"/>
                <w:vertAlign w:val="baseline"/>
                <w:lang w:val="en-US" w:eastAsia="zh-CN" w:bidi="ar-SA"/>
              </w:rPr>
              <w:t>（1</w:t>
            </w:r>
            <w:r>
              <w:rPr>
                <w:rFonts w:hint="eastAsia" w:ascii="Times New Roman" w:hAnsi="Times New Roman" w:eastAsia="仿宋_GB2312" w:cs="Times New Roman"/>
                <w:color w:val="auto"/>
                <w:kern w:val="2"/>
                <w:sz w:val="24"/>
                <w:szCs w:val="24"/>
                <w:vertAlign w:val="baseline"/>
                <w:lang w:val="en-US" w:eastAsia="zh-CN" w:bidi="ar-SA"/>
              </w:rPr>
              <w:t>5</w:t>
            </w:r>
            <w:r>
              <w:rPr>
                <w:rFonts w:hint="default" w:ascii="Times New Roman" w:hAnsi="Times New Roman" w:eastAsia="仿宋_GB2312" w:cs="Times New Roman"/>
                <w:color w:val="auto"/>
                <w:kern w:val="2"/>
                <w:sz w:val="24"/>
                <w:szCs w:val="24"/>
                <w:vertAlign w:val="baseline"/>
                <w:lang w:val="en-US" w:eastAsia="zh-CN" w:bidi="ar-SA"/>
              </w:rPr>
              <w:t>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规划成果的特点亮点是否突出，规划实施的成效是否在全省形成可推广、可复制的经验。</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规划</w:t>
            </w:r>
            <w:r>
              <w:rPr>
                <w:rFonts w:hint="default" w:ascii="Times New Roman" w:hAnsi="Times New Roman" w:eastAsia="仿宋_GB2312" w:cs="Times New Roman"/>
                <w:color w:val="auto"/>
                <w:sz w:val="24"/>
                <w:szCs w:val="24"/>
                <w:vertAlign w:val="baseline"/>
                <w:lang w:val="en-US" w:eastAsia="zh-CN"/>
              </w:rPr>
              <w:t>实施成效好，村庄提升变化大</w:t>
            </w:r>
            <w:r>
              <w:rPr>
                <w:rFonts w:hint="eastAsia" w:ascii="Times New Roman" w:hAnsi="Times New Roman" w:eastAsia="仿宋_GB2312" w:cs="Times New Roman"/>
                <w:color w:val="auto"/>
                <w:sz w:val="24"/>
                <w:szCs w:val="24"/>
                <w:vertAlign w:val="baseline"/>
                <w:lang w:val="en-US" w:eastAsia="zh-CN"/>
              </w:rPr>
              <w:t>，村民满意度高，在全省</w:t>
            </w:r>
            <w:r>
              <w:rPr>
                <w:rFonts w:hint="default" w:ascii="Times New Roman" w:hAnsi="Times New Roman" w:eastAsia="仿宋_GB2312" w:cs="Times New Roman"/>
                <w:color w:val="auto"/>
                <w:sz w:val="24"/>
                <w:szCs w:val="24"/>
                <w:vertAlign w:val="baseline"/>
                <w:lang w:val="en-US" w:eastAsia="zh-CN"/>
              </w:rPr>
              <w:t>具有良好示范</w:t>
            </w:r>
            <w:r>
              <w:rPr>
                <w:rFonts w:hint="eastAsia" w:ascii="Times New Roman" w:hAnsi="Times New Roman" w:eastAsia="仿宋_GB2312" w:cs="Times New Roman"/>
                <w:color w:val="auto"/>
                <w:sz w:val="24"/>
                <w:szCs w:val="24"/>
                <w:vertAlign w:val="baseline"/>
                <w:lang w:val="en-US" w:eastAsia="zh-CN"/>
              </w:rPr>
              <w:t>推广</w:t>
            </w:r>
            <w:r>
              <w:rPr>
                <w:rFonts w:hint="default" w:ascii="Times New Roman" w:hAnsi="Times New Roman" w:eastAsia="仿宋_GB2312" w:cs="Times New Roman"/>
                <w:color w:val="auto"/>
                <w:sz w:val="24"/>
                <w:szCs w:val="24"/>
                <w:vertAlign w:val="baseline"/>
                <w:lang w:val="en-US" w:eastAsia="zh-CN"/>
              </w:rPr>
              <w:t>效应</w:t>
            </w:r>
            <w:r>
              <w:rPr>
                <w:rFonts w:hint="eastAsia" w:ascii="Times New Roman" w:hAnsi="Times New Roman" w:eastAsia="仿宋_GB2312" w:cs="Times New Roman"/>
                <w:color w:val="auto"/>
                <w:sz w:val="24"/>
                <w:szCs w:val="24"/>
                <w:vertAlign w:val="baseline"/>
                <w:lang w:val="en-US" w:eastAsia="zh-CN"/>
              </w:rPr>
              <w:t>（10-15分）。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规划</w:t>
            </w:r>
            <w:r>
              <w:rPr>
                <w:rFonts w:hint="default" w:ascii="Times New Roman" w:hAnsi="Times New Roman" w:eastAsia="仿宋_GB2312" w:cs="Times New Roman"/>
                <w:color w:val="auto"/>
                <w:sz w:val="24"/>
                <w:szCs w:val="24"/>
                <w:vertAlign w:val="baseline"/>
                <w:lang w:val="en-US" w:eastAsia="zh-CN"/>
              </w:rPr>
              <w:t>有一定</w:t>
            </w:r>
            <w:r>
              <w:rPr>
                <w:rFonts w:hint="eastAsia" w:ascii="Times New Roman" w:hAnsi="Times New Roman" w:eastAsia="仿宋_GB2312" w:cs="Times New Roman"/>
                <w:color w:val="auto"/>
                <w:sz w:val="24"/>
                <w:szCs w:val="24"/>
                <w:vertAlign w:val="baseline"/>
                <w:lang w:val="en-US" w:eastAsia="zh-CN"/>
              </w:rPr>
              <w:t>成效</w:t>
            </w:r>
            <w:r>
              <w:rPr>
                <w:rFonts w:hint="default"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村庄规划建设有一定提升，具有一定的代表性（5-9分）。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8</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村民认可度（10分）</w:t>
            </w:r>
          </w:p>
        </w:tc>
        <w:tc>
          <w:tcPr>
            <w:tcW w:w="30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村庄规划的主要内容是否纳入村规民约，村民对村庄规划的编制、实施是否满意。</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纳入村规民约，村民比较满意并提供印证材料的（6-10分）。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auto"/>
                <w:sz w:val="24"/>
                <w:szCs w:val="24"/>
                <w:vertAlign w:val="baseline"/>
                <w:lang w:val="en-US" w:eastAsia="zh-CN"/>
              </w:rPr>
            </w:pP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vertAlign w:val="baseline"/>
                <w:lang w:val="en-US" w:eastAsia="zh-CN"/>
              </w:rPr>
            </w:pPr>
          </w:p>
        </w:tc>
        <w:tc>
          <w:tcPr>
            <w:tcW w:w="30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纳入村民民约，村民满意的（3-5分）。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9</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总分</w:t>
            </w:r>
            <w:r>
              <w:rPr>
                <w:rFonts w:hint="eastAsia" w:ascii="Times New Roman" w:hAnsi="Times New Roman" w:eastAsia="黑体" w:cs="Times New Roman"/>
                <w:color w:val="auto"/>
                <w:sz w:val="24"/>
                <w:szCs w:val="24"/>
                <w:vertAlign w:val="baseline"/>
                <w:lang w:val="en-US" w:eastAsia="zh-CN"/>
              </w:rPr>
              <w:t>（100分）</w:t>
            </w:r>
          </w:p>
        </w:tc>
        <w:tc>
          <w:tcPr>
            <w:tcW w:w="30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根据评选情况，本次村庄规划优秀案例设置一等奖、二等奖、三等奖和优秀奖。</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15</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77266"/>
    <w:multiLevelType w:val="singleLevel"/>
    <w:tmpl w:val="32D772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dit="readOnly" w:enforcement="0"/>
  <w:defaultTabStop w:val="420"/>
  <w:hyphenationZone w:val="360"/>
  <w:drawingGridVerticalSpacing w:val="159"/>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2YjI2NWU2M2IwOWRiODcwZmFkODIxMTkxMTc4ZjMifQ=="/>
    <w:docVar w:name="KGWebUrl" w:val="http://sj.gw.gz.cegn.cn:94/seeyon/officeservlet"/>
  </w:docVars>
  <w:rsids>
    <w:rsidRoot w:val="205117CB"/>
    <w:rsid w:val="00F04BCF"/>
    <w:rsid w:val="01777D2D"/>
    <w:rsid w:val="033402ED"/>
    <w:rsid w:val="04272E8B"/>
    <w:rsid w:val="05285CDD"/>
    <w:rsid w:val="0541143E"/>
    <w:rsid w:val="09D625F3"/>
    <w:rsid w:val="0B9413E0"/>
    <w:rsid w:val="0E1765E0"/>
    <w:rsid w:val="0F377E31"/>
    <w:rsid w:val="0FE4113B"/>
    <w:rsid w:val="160D74E5"/>
    <w:rsid w:val="16245812"/>
    <w:rsid w:val="17074C50"/>
    <w:rsid w:val="17900D8C"/>
    <w:rsid w:val="1B286BA6"/>
    <w:rsid w:val="1CA13619"/>
    <w:rsid w:val="1DF9095D"/>
    <w:rsid w:val="205117CB"/>
    <w:rsid w:val="236B13C7"/>
    <w:rsid w:val="24EB798C"/>
    <w:rsid w:val="25E34F51"/>
    <w:rsid w:val="27425E99"/>
    <w:rsid w:val="28A82999"/>
    <w:rsid w:val="2A55679D"/>
    <w:rsid w:val="2B04304D"/>
    <w:rsid w:val="2CC01CAD"/>
    <w:rsid w:val="2D5625F2"/>
    <w:rsid w:val="2EF73C61"/>
    <w:rsid w:val="2FBC5942"/>
    <w:rsid w:val="31171049"/>
    <w:rsid w:val="318E084D"/>
    <w:rsid w:val="33F80A34"/>
    <w:rsid w:val="34D0035E"/>
    <w:rsid w:val="35192C03"/>
    <w:rsid w:val="36DA3680"/>
    <w:rsid w:val="3707228E"/>
    <w:rsid w:val="37692800"/>
    <w:rsid w:val="3D6A205A"/>
    <w:rsid w:val="3FB8649A"/>
    <w:rsid w:val="4186455D"/>
    <w:rsid w:val="44951F1E"/>
    <w:rsid w:val="44FF41C6"/>
    <w:rsid w:val="464B105C"/>
    <w:rsid w:val="4822648E"/>
    <w:rsid w:val="4952591B"/>
    <w:rsid w:val="4FE1381B"/>
    <w:rsid w:val="50277713"/>
    <w:rsid w:val="520A706A"/>
    <w:rsid w:val="535C61B8"/>
    <w:rsid w:val="55B0289C"/>
    <w:rsid w:val="55E61D3B"/>
    <w:rsid w:val="57724502"/>
    <w:rsid w:val="5AEF6A56"/>
    <w:rsid w:val="5B092748"/>
    <w:rsid w:val="5CAF2E06"/>
    <w:rsid w:val="5CBB0682"/>
    <w:rsid w:val="5CE6076E"/>
    <w:rsid w:val="5D3D613F"/>
    <w:rsid w:val="5FDF9A11"/>
    <w:rsid w:val="5FF53F5E"/>
    <w:rsid w:val="62BD33A5"/>
    <w:rsid w:val="631B7999"/>
    <w:rsid w:val="63380ECD"/>
    <w:rsid w:val="64B4104D"/>
    <w:rsid w:val="69FC5EC8"/>
    <w:rsid w:val="6A08282E"/>
    <w:rsid w:val="6AB61826"/>
    <w:rsid w:val="6C752BE4"/>
    <w:rsid w:val="6FBF51A9"/>
    <w:rsid w:val="722136CB"/>
    <w:rsid w:val="723D05D4"/>
    <w:rsid w:val="728E47A8"/>
    <w:rsid w:val="739F4893"/>
    <w:rsid w:val="75D0379B"/>
    <w:rsid w:val="75DBD35F"/>
    <w:rsid w:val="76798FC4"/>
    <w:rsid w:val="78B7997D"/>
    <w:rsid w:val="79AD2E6C"/>
    <w:rsid w:val="7A031346"/>
    <w:rsid w:val="7A0E2C75"/>
    <w:rsid w:val="7F5F4E61"/>
    <w:rsid w:val="7FED2DB8"/>
    <w:rsid w:val="7FFD506C"/>
    <w:rsid w:val="A58712E8"/>
    <w:rsid w:val="B5F2B0E9"/>
    <w:rsid w:val="BBFCB070"/>
    <w:rsid w:val="DDFD7D5B"/>
    <w:rsid w:val="F7728922"/>
    <w:rsid w:val="F7EF5101"/>
    <w:rsid w:val="FBE7FB66"/>
    <w:rsid w:val="FF0A23FE"/>
    <w:rsid w:val="FF6D8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正文-公1"/>
    <w:next w:val="4"/>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5806</Words>
  <Characters>5958</Characters>
  <Lines>0</Lines>
  <Paragraphs>0</Paragraphs>
  <TotalTime>10</TotalTime>
  <ScaleCrop>false</ScaleCrop>
  <LinksUpToDate>false</LinksUpToDate>
  <CharactersWithSpaces>6094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2022-10-11T17:37:00Z</dcterms:created>
  <dc:creator>Peter Wu</dc:creator>
  <cp:lastModifiedBy>ysgz</cp:lastModifiedBy>
  <cp:lastPrinted>2022-10-28T12:08:00Z</cp:lastPrinted>
  <dcterms:modified xsi:type="dcterms:W3CDTF">2022-11-11T18:05:24Z</dcterms:modified>
  <dc:title>省自然资源厅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F51A90DA6FC04D3081349D64FC08FFEB</vt:lpwstr>
  </property>
</Properties>
</file>