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修文县谷堡乡长冲大槽铝土矿矿业权出让收益</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计算结果公示</w:t>
      </w:r>
    </w:p>
    <w:p>
      <w:pPr>
        <w:pStyle w:val="4"/>
        <w:spacing w:line="560" w:lineRule="exact"/>
        <w:ind w:firstLine="800"/>
        <w:rPr>
          <w:rFonts w:hint="default" w:ascii="Times New Roman" w:hAnsi="Times New Roman" w:eastAsia="仿宋_GB2312"/>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修文县谷堡乡长冲大槽铝土矿矿业权出让收益</w:t>
      </w:r>
      <w:r>
        <w:rPr>
          <w:rFonts w:hint="default" w:ascii="仿宋" w:hAnsi="仿宋" w:eastAsia="仿宋"/>
          <w:sz w:val="32"/>
          <w:szCs w:val="32"/>
        </w:rPr>
        <w:t>计算工作。根据</w:t>
      </w:r>
      <w:r>
        <w:rPr>
          <w:rFonts w:ascii="仿宋" w:hAnsi="仿宋" w:eastAsia="仿宋"/>
          <w:sz w:val="32"/>
          <w:szCs w:val="32"/>
        </w:rPr>
        <w:t>《贵州省自然资源厅 贵州省财政厅 国家税务总局贵州省税务局</w:t>
      </w:r>
      <w:r>
        <w:rPr>
          <w:rFonts w:hint="eastAsia" w:ascii="仿宋" w:hAnsi="仿宋" w:eastAsia="仿宋"/>
          <w:sz w:val="32"/>
          <w:szCs w:val="32"/>
          <w:lang w:val="en-US" w:eastAsia="zh-CN"/>
        </w:rPr>
        <w:t xml:space="preserve"> </w:t>
      </w:r>
      <w:r>
        <w:rPr>
          <w:rFonts w:ascii="仿宋" w:hAnsi="仿宋" w:eastAsia="仿宋"/>
          <w:sz w:val="32"/>
          <w:szCs w:val="32"/>
        </w:rPr>
        <w:t>中国人民银行贵阳中心支行关于贯彻落实《贵州省矿业权出让收益征收管理实施办法（试行）的通知》（黔自然资规[2019]2号）、</w:t>
      </w:r>
      <w:r>
        <w:rPr>
          <w:rFonts w:hint="default" w:ascii="仿宋" w:hAnsi="仿宋" w:eastAsia="仿宋"/>
          <w:sz w:val="32"/>
          <w:szCs w:val="32"/>
        </w:rPr>
        <w:t>《省国土资源厅关于做好矿业权价款评估备案取消后相关工作的通知》(黔国土资储函〔2016〕47号)，现将有关内容公示如下：</w:t>
      </w:r>
      <w:r>
        <w:rPr>
          <w:rFonts w:hint="default" w:ascii="Times New Roman" w:hAnsi="Times New Roman" w:eastAsia="仿宋_GB2312"/>
          <w:sz w:val="32"/>
          <w:szCs w:val="32"/>
        </w:rPr>
        <w:t xml:space="preserve">   </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28</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6</w:t>
      </w:r>
      <w:r>
        <w:rPr>
          <w:rFonts w:hint="default" w:ascii="仿宋" w:hAnsi="仿宋" w:eastAsia="仿宋"/>
          <w:sz w:val="32"/>
          <w:szCs w:val="32"/>
        </w:rPr>
        <w:t>月</w:t>
      </w:r>
      <w:r>
        <w:rPr>
          <w:rFonts w:hint="eastAsia" w:ascii="仿宋" w:hAnsi="仿宋" w:eastAsia="仿宋"/>
          <w:sz w:val="32"/>
          <w:szCs w:val="32"/>
          <w:lang w:val="en-US" w:eastAsia="zh-CN"/>
        </w:rPr>
        <w:t>6</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出让收益</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kern w:val="0"/>
          <w:sz w:val="32"/>
          <w:szCs w:val="32"/>
          <w:lang w:val="zh-CN"/>
        </w:rPr>
        <w:t>三、计算结果</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修文县谷堡乡长冲大槽铝土矿于2006年办理采矿权延续时处置过资源价款，根据贵阳市国土资源局评审备案的筑国土资环通〔2004〕093号，截止2004年2月5日，备案的铝土矿矿矿石资源总量144.93万吨，亦为保有资源量。处置铝土矿价款57.97万元（0.4元/吨×144.93万吨=57.97万元）（办文编号001</w:t>
      </w:r>
      <w:r>
        <w:rPr>
          <w:rFonts w:ascii="仿宋" w:hAnsi="仿宋" w:eastAsia="仿宋"/>
          <w:sz w:val="32"/>
          <w:szCs w:val="32"/>
        </w:rPr>
        <w:t>-</w:t>
      </w:r>
      <w:r>
        <w:rPr>
          <w:rFonts w:hint="eastAsia" w:ascii="仿宋" w:hAnsi="仿宋" w:eastAsia="仿宋"/>
          <w:sz w:val="32"/>
          <w:szCs w:val="32"/>
        </w:rPr>
        <w:t>08</w:t>
      </w:r>
      <w:r>
        <w:rPr>
          <w:rFonts w:ascii="仿宋" w:hAnsi="仿宋" w:eastAsia="仿宋"/>
          <w:sz w:val="32"/>
          <w:szCs w:val="32"/>
        </w:rPr>
        <w:t>-20</w:t>
      </w:r>
      <w:r>
        <w:rPr>
          <w:rFonts w:hint="eastAsia" w:ascii="仿宋" w:hAnsi="仿宋" w:eastAsia="仿宋"/>
          <w:sz w:val="32"/>
          <w:szCs w:val="32"/>
        </w:rPr>
        <w:t>064287）。</w:t>
      </w:r>
      <w:r>
        <w:rPr>
          <w:rFonts w:hint="eastAsia" w:ascii="仿宋" w:hAnsi="仿宋" w:eastAsia="仿宋"/>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按照《财政部 国土资源部关于印发&lt;矿业权出让收益征收管理办法&gt;的通知》（财综[2017]35号）和《省财政厅、省国土资源厅、省税务局、中国人民银行贵阳中心支行关于印发&lt;贵州省矿业权出让收益征收管理实施办法（试行）&gt;的通知》（黔财综[2018]1号）的规定，需处置矿业权出让收益。根据《关于贵州省修文县谷堡乡长冲大槽铝土矿资源储量核实及勘探报告矿产资源储量评审备案证明的函》及专家评审意见书（黔自然资储备字〔2021〕45号），截止2021年2月1日，修文县长冲大槽铝土矿矿区范围内铝土矿总资源储量90.12万吨，保有资源量87.85万吨。已告知矿业权人，矿业权人申请处置矿业权出让收益时未提供《三合一方案》的，按本次备案的总资源储量处置矿业权出让收益。</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本次矿业权出让收益处置利用拟动用铝土矿总资源储量较原已处置过价款的铝土矿资源储量少，故不再处置铝土矿矿业权出让收益。</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出让收益</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28</w:t>
      </w:r>
      <w:r>
        <w:rPr>
          <w:rFonts w:hint="default" w:ascii="仿宋" w:hAnsi="仿宋" w:eastAsia="仿宋"/>
          <w:sz w:val="32"/>
          <w:szCs w:val="32"/>
        </w:rPr>
        <w:t>日</w:t>
      </w:r>
      <w:bookmarkStart w:id="0" w:name="_GoBack"/>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7795C"/>
    <w:rsid w:val="153A404A"/>
    <w:rsid w:val="2FBD7F6F"/>
    <w:rsid w:val="307B3184"/>
    <w:rsid w:val="3617795C"/>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2021-05-28T08:12:00Z</dcterms:created>
  <dc:creator>姬胜源矿产资源保护监督处</dc:creator>
  <cp:lastModifiedBy>姬胜源矿产资源保护监督处</cp:lastModifiedBy>
  <dcterms:modified xsi:type="dcterms:W3CDTF">2021-05-28T08:13:45Z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