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贵州恒隆源矿业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有限公司绥阳县黄杨镇宏盛煤矿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贵州恒隆源矿业有限公司绥阳县黄杨镇宏盛煤矿矿业权价款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6</w:t>
      </w:r>
      <w:r>
        <w:rPr>
          <w:rFonts w:hint="default" w:ascii="仿宋" w:hAnsi="仿宋" w:eastAsia="仿宋"/>
          <w:sz w:val="32"/>
          <w:szCs w:val="32"/>
        </w:rPr>
        <w:t>月</w:t>
      </w:r>
      <w:r>
        <w:rPr>
          <w:rFonts w:hint="eastAsia" w:ascii="仿宋" w:hAnsi="仿宋" w:eastAsia="仿宋"/>
          <w:sz w:val="32"/>
          <w:szCs w:val="32"/>
          <w:lang w:val="en-US" w:eastAsia="zh-CN"/>
        </w:rPr>
        <w:t>6</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恒隆源矿业有限公司主体企业煤矿兼并重组实施方案的批复》（黔煤兼并重组办〔2015〕43号），该矿山由绥阳县黄杨镇宏盛煤矿与绥阳县宽阔镇联营煤矿兼并重组而成，兼并重组后矿区范围含原两矿范围。</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绥阳县宏盛煤矿于2008年办理采矿权民用煤整合延续时处置的。根据黔国土资储备字〔2008〕367号，原绥阳县宏盛煤矿矿权范围内备案煤炭总资源储量206.35万吨，保有资源储量204.52万吨。价款处置具体情况，矿山应缴纳采矿权价款168.632万元[（0.8元/吨×198.25万吨=158.6万元）+（1.6元/吨×6.27万吨=10.032万元）=168.632万元]（办文编号001-08-20085745）；</w:t>
      </w:r>
      <w:r>
        <w:rPr>
          <w:rFonts w:hint="eastAsia" w:ascii="仿宋" w:hAnsi="仿宋" w:eastAsia="仿宋"/>
          <w:sz w:val="32"/>
          <w:szCs w:val="32"/>
          <w:lang w:val="en-US" w:eastAsia="zh-CN"/>
        </w:rPr>
        <w:t>已缴清。</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绥阳县宽阔镇联营煤矿于2008年办理采矿权扩能时处置的。根据遵义市国土资源局备案的遵市国土资发〔2006〕120号，原绥阳县宽阔镇联营煤矿矿权范围内备案煤炭总资源储量208万吨，保有资源储量158万吨。价款处置具体情况，矿山应缴纳采矿权价款126.4万元（0.8元/吨×158万吨=126.4万元）（办文编号001-08-20081748）；</w:t>
      </w:r>
      <w:r>
        <w:rPr>
          <w:rFonts w:hint="eastAsia" w:ascii="仿宋" w:hAnsi="仿宋" w:eastAsia="仿宋"/>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综上，贵州恒隆源矿业有限公司绥阳县黄杨镇宏盛煤矿兼并重组前两矿总资源储量合计414.35万吨（206.35万吨+208万吨=414.35万吨）。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绥阳县宏盛煤矿申请矿业权价款处置。根据《关于&lt;贵州恒隆源矿业有限公司绥阳县黄杨镇宏盛煤矿（预留）资源储量核实及勘探报告&gt;矿产资源储量评审备案证明的函》及专家评审意见书（黔自然资储备字〔2020〕266号），截止2020年9月30日，绥阳县宏盛煤矿矿区范围内煤炭总资源储量1195万吨，保有资源储量1187万吨，先期开采地段总资源储量401万吨，煤类为贫煤，煤层气含量未达含气量下限标准，未估算煤层气资源量。已告知矿业权人，矿业权人申请处置矿业权价款时未提供《三合一方案》的，按本次备案的总资源储量处置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总资源储量扣除原两矿已处置过价款备案煤炭资源储量后为780.65万吨（1195万吨-414.35万吨=780.65万吨）。该矿山本次计算矿业权价款为2341.95万元（3元/吨×780.65万吨=2341.95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360" w:lineRule="auto"/>
        <w:rPr>
          <w:rFonts w:hint="default" w:ascii="仿宋" w:hAnsi="仿宋" w:eastAsia="仿宋"/>
          <w:sz w:val="32"/>
          <w:szCs w:val="32"/>
        </w:rPr>
      </w:pPr>
      <w:r>
        <w:rPr>
          <w:rFonts w:hint="default" w:ascii="仿宋" w:hAnsi="仿宋" w:eastAsia="仿宋"/>
          <w:sz w:val="32"/>
          <w:szCs w:val="32"/>
        </w:rPr>
        <w:t xml:space="preserve">                 </w:t>
      </w:r>
    </w:p>
    <w:p>
      <w:pPr>
        <w:ind w:firstLine="5440" w:firstLineChars="1700"/>
      </w:pP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2725F"/>
    <w:rsid w:val="153A404A"/>
    <w:rsid w:val="20F2725F"/>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2021-05-28T07:34:00Z</dcterms:created>
  <dc:creator>姬胜源矿产资源保护监督处</dc:creator>
  <cp:lastModifiedBy>姬胜源矿产资源保护监督处</cp:lastModifiedBy>
  <dcterms:modified xsi:type="dcterms:W3CDTF">2021-05-28T07:35:56Z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