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首钢水城钢铁</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（集团）有限责任公司观音山铁矿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矿业权出让收益</w:t>
      </w: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首钢水城钢铁（集团）有限责任公司观音山铁矿矿业权出让收益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2</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2</w:t>
      </w:r>
      <w:r>
        <w:rPr>
          <w:rFonts w:hint="default" w:ascii="仿宋" w:hAnsi="仿宋" w:eastAsia="仿宋"/>
          <w:sz w:val="32"/>
          <w:szCs w:val="32"/>
        </w:rPr>
        <w:t>月</w:t>
      </w:r>
      <w:r>
        <w:rPr>
          <w:rFonts w:hint="eastAsia" w:ascii="仿宋" w:hAnsi="仿宋" w:eastAsia="仿宋"/>
          <w:sz w:val="32"/>
          <w:szCs w:val="32"/>
          <w:lang w:val="en-US" w:eastAsia="zh-CN"/>
        </w:rPr>
        <w:t>17</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首钢水城钢铁（集团）有限责任公司观音山铁矿于2014年办理采矿权变更时处置过资源价款，根据黔国土资储备字〔2006〕75号，截止2005年12月30日，备案的铁矿矿石资源总量1349.1万吨（黔自然资储备字〔2021〕8号备案的专家意见），保有资源储量188.8万吨。价款处置具体情况，处置缴纳价款为377.6万元（2元/吨×188.8万吨×8.46年/8.46年=377.6万元）</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rPr>
        <w:t>02</w:t>
      </w:r>
      <w:r>
        <w:rPr>
          <w:rFonts w:ascii="仿宋" w:hAnsi="仿宋" w:eastAsia="仿宋"/>
          <w:w w:val="92"/>
          <w:sz w:val="32"/>
          <w:szCs w:val="32"/>
        </w:rPr>
        <w:t>-20</w:t>
      </w:r>
      <w:r>
        <w:rPr>
          <w:rFonts w:hint="eastAsia" w:ascii="仿宋" w:hAnsi="仿宋" w:eastAsia="仿宋"/>
          <w:w w:val="92"/>
          <w:sz w:val="32"/>
          <w:szCs w:val="32"/>
        </w:rPr>
        <w:t>142539）。</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该矿因延续需处置矿业权出让收益。根据《关于&lt;首钢水城钢铁（集团）有限责任公司观音山铁矿资源储量核实报告&gt;矿产资源储量评审备案证明的函》及专家评审意见书（黔自然资储备字〔2021〕8号），截止2020年6月30日，观音山铁矿矿区范围内铁矿总资源储量1368.82万吨，保有资源储量66.89万吨。已告知矿业权人，矿业权人申请处置矿业权出让收益时未提供《三合一方案》的，按本次备案的总资源储量处置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本次矿业权出让收益处置利用拟动用铁矿总资源储量扣除原已处置过价款的铁矿资源量后为19.72万吨（1368.82万吨-1349.1万吨=19.72万吨），应缴纳铁矿矿业权出让收益39.44万元（2元/吨×19.72万吨=39.44万元）。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w:t>
      </w:r>
    </w:p>
    <w:p>
      <w:pPr>
        <w:ind w:firstLine="5760" w:firstLineChars="1800"/>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2</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w:t>
      </w:r>
    </w:p>
    <w:bookmarkEnd w:id="0"/>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E5BCE"/>
    <w:rsid w:val="153A404A"/>
    <w:rsid w:val="2FBD7F6F"/>
    <w:rsid w:val="307B3184"/>
    <w:rsid w:val="386D0628"/>
    <w:rsid w:val="3C0861DA"/>
    <w:rsid w:val="55BE5BCE"/>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2021-02-08T02:32:00Z</dcterms:created>
  <dc:creator>姬胜源矿产资源保护监督处</dc:creator>
  <cp:lastModifiedBy>姬胜源矿产资源保护监督处</cp:lastModifiedBy>
  <dcterms:modified xsi:type="dcterms:W3CDTF">2021-02-08T02:47:35Z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